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CD12" w14:textId="77777777" w:rsidR="0000714B" w:rsidRDefault="0000714B" w:rsidP="00F2180D">
      <w:pPr>
        <w:spacing w:before="4"/>
        <w:rPr>
          <w:rFonts w:ascii="Times New Roman" w:eastAsia="Times New Roman" w:hAnsi="Times New Roman" w:cs="Times New Roman"/>
          <w:sz w:val="7"/>
          <w:szCs w:val="7"/>
        </w:rPr>
      </w:pPr>
    </w:p>
    <w:p w14:paraId="07B9EB15" w14:textId="77777777" w:rsidR="0000714B" w:rsidRDefault="00B90918">
      <w:pPr>
        <w:spacing w:line="200" w:lineRule="atLeast"/>
        <w:ind w:left="1305"/>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14:paraId="027C394F" w14:textId="77777777" w:rsidR="0000714B" w:rsidRDefault="0000714B">
      <w:pPr>
        <w:rPr>
          <w:rFonts w:ascii="Times New Roman" w:eastAsia="Times New Roman" w:hAnsi="Times New Roman" w:cs="Times New Roman"/>
          <w:sz w:val="20"/>
          <w:szCs w:val="20"/>
        </w:rPr>
      </w:pPr>
    </w:p>
    <w:p w14:paraId="72AF4A67" w14:textId="77777777" w:rsidR="0000714B" w:rsidRDefault="0000714B">
      <w:pPr>
        <w:rPr>
          <w:rFonts w:ascii="Times New Roman" w:eastAsia="Times New Roman" w:hAnsi="Times New Roman" w:cs="Times New Roman"/>
          <w:sz w:val="20"/>
          <w:szCs w:val="20"/>
        </w:rPr>
      </w:pPr>
    </w:p>
    <w:p w14:paraId="49C643A4" w14:textId="77777777" w:rsidR="0000714B" w:rsidRDefault="0000714B">
      <w:pPr>
        <w:rPr>
          <w:rFonts w:ascii="Times New Roman" w:eastAsia="Times New Roman" w:hAnsi="Times New Roman" w:cs="Times New Roman"/>
          <w:sz w:val="20"/>
          <w:szCs w:val="20"/>
        </w:rPr>
      </w:pPr>
    </w:p>
    <w:p w14:paraId="561DB595" w14:textId="77777777" w:rsidR="0000714B" w:rsidRDefault="0000714B">
      <w:pPr>
        <w:rPr>
          <w:rFonts w:ascii="Times New Roman" w:eastAsia="Times New Roman" w:hAnsi="Times New Roman" w:cs="Times New Roman"/>
          <w:sz w:val="20"/>
          <w:szCs w:val="20"/>
        </w:rPr>
      </w:pPr>
    </w:p>
    <w:p w14:paraId="4CCBE826" w14:textId="77777777" w:rsidR="0000714B" w:rsidRDefault="0000714B">
      <w:pPr>
        <w:rPr>
          <w:rFonts w:ascii="Times New Roman" w:eastAsia="Times New Roman" w:hAnsi="Times New Roman" w:cs="Times New Roman"/>
          <w:sz w:val="20"/>
          <w:szCs w:val="20"/>
        </w:rPr>
      </w:pPr>
    </w:p>
    <w:p w14:paraId="4595DD89" w14:textId="77777777" w:rsidR="0000714B" w:rsidRDefault="0000714B">
      <w:pPr>
        <w:rPr>
          <w:rFonts w:ascii="Times New Roman" w:eastAsia="Times New Roman" w:hAnsi="Times New Roman" w:cs="Times New Roman"/>
          <w:sz w:val="20"/>
          <w:szCs w:val="20"/>
        </w:rPr>
      </w:pPr>
    </w:p>
    <w:p w14:paraId="2160A18B" w14:textId="77777777" w:rsidR="0000714B" w:rsidRDefault="0000714B">
      <w:pPr>
        <w:rPr>
          <w:rFonts w:ascii="Times New Roman" w:eastAsia="Times New Roman" w:hAnsi="Times New Roman" w:cs="Times New Roman"/>
          <w:sz w:val="20"/>
          <w:szCs w:val="20"/>
        </w:rPr>
      </w:pPr>
    </w:p>
    <w:p w14:paraId="132223FF" w14:textId="77777777" w:rsidR="0000714B" w:rsidRDefault="0000714B">
      <w:pPr>
        <w:rPr>
          <w:rFonts w:ascii="Times New Roman" w:eastAsia="Times New Roman" w:hAnsi="Times New Roman" w:cs="Times New Roman"/>
          <w:sz w:val="20"/>
          <w:szCs w:val="20"/>
        </w:rPr>
      </w:pPr>
    </w:p>
    <w:p w14:paraId="1FCBA097" w14:textId="77777777" w:rsidR="0000714B" w:rsidRDefault="0000714B">
      <w:pPr>
        <w:rPr>
          <w:rFonts w:ascii="Times New Roman" w:eastAsia="Times New Roman" w:hAnsi="Times New Roman" w:cs="Times New Roman"/>
          <w:sz w:val="20"/>
          <w:szCs w:val="20"/>
        </w:rPr>
      </w:pPr>
    </w:p>
    <w:p w14:paraId="61DC881C" w14:textId="77777777" w:rsidR="0000714B" w:rsidRDefault="0000714B">
      <w:pPr>
        <w:spacing w:before="3"/>
        <w:rPr>
          <w:rFonts w:ascii="Times New Roman" w:eastAsia="Times New Roman" w:hAnsi="Times New Roman" w:cs="Times New Roman"/>
          <w:sz w:val="16"/>
          <w:szCs w:val="16"/>
        </w:rPr>
      </w:pPr>
    </w:p>
    <w:p w14:paraId="645E9068" w14:textId="77777777" w:rsidR="001D174A" w:rsidRPr="008A44A5" w:rsidRDefault="00CF04F3" w:rsidP="00B70E68">
      <w:pPr>
        <w:spacing w:before="33"/>
        <w:ind w:right="836"/>
        <w:rPr>
          <w:rFonts w:ascii="FreightText Pro Semibold" w:eastAsiaTheme="minorEastAsia" w:hAnsi="FreightText Pro Semibold"/>
          <w:color w:val="2E8989"/>
          <w:sz w:val="44"/>
          <w:szCs w:val="44"/>
        </w:rPr>
      </w:pPr>
      <w:r w:rsidRPr="008A44A5">
        <w:rPr>
          <w:rFonts w:ascii="FreightText Pro Semibold" w:eastAsiaTheme="minorEastAsia" w:hAnsi="FreightText Pro Semibold"/>
          <w:noProof/>
          <w:color w:val="2E8989"/>
          <w:sz w:val="44"/>
          <w:szCs w:val="44"/>
        </w:rPr>
        <mc:AlternateContent>
          <mc:Choice Requires="wpg">
            <w:drawing>
              <wp:anchor distT="0" distB="0" distL="114300" distR="114300" simplePos="0" relativeHeight="251658240" behindDoc="0" locked="0" layoutInCell="1" allowOverlap="1" wp14:anchorId="08A95028" wp14:editId="6274D4AA">
                <wp:simplePos x="0" y="0"/>
                <wp:positionH relativeFrom="page">
                  <wp:posOffset>9525</wp:posOffset>
                </wp:positionH>
                <wp:positionV relativeFrom="paragraph">
                  <wp:posOffset>-368935</wp:posOffset>
                </wp:positionV>
                <wp:extent cx="7762875" cy="1270"/>
                <wp:effectExtent l="0" t="19050" r="28575" b="3683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270"/>
                          <a:chOff x="15" y="-581"/>
                          <a:chExt cx="12225" cy="2"/>
                        </a:xfrm>
                      </wpg:grpSpPr>
                      <wps:wsp>
                        <wps:cNvPr id="18" name="Freeform 3"/>
                        <wps:cNvSpPr>
                          <a:spLocks/>
                        </wps:cNvSpPr>
                        <wps:spPr bwMode="auto">
                          <a:xfrm>
                            <a:off x="15" y="-581"/>
                            <a:ext cx="12225" cy="2"/>
                          </a:xfrm>
                          <a:custGeom>
                            <a:avLst/>
                            <a:gdLst>
                              <a:gd name="T0" fmla="+- 0 15 15"/>
                              <a:gd name="T1" fmla="*/ T0 w 12225"/>
                              <a:gd name="T2" fmla="+- 0 -581 -581"/>
                              <a:gd name="T3" fmla="*/ -581 h 1"/>
                              <a:gd name="T4" fmla="+- 0 12240 15"/>
                              <a:gd name="T5" fmla="*/ T4 w 12225"/>
                              <a:gd name="T6" fmla="+- 0 -580 -581"/>
                              <a:gd name="T7" fmla="*/ -580 h 1"/>
                            </a:gdLst>
                            <a:ahLst/>
                            <a:cxnLst>
                              <a:cxn ang="0">
                                <a:pos x="T1" y="T3"/>
                              </a:cxn>
                              <a:cxn ang="0">
                                <a:pos x="T5" y="T7"/>
                              </a:cxn>
                            </a:cxnLst>
                            <a:rect l="0" t="0" r="r" b="b"/>
                            <a:pathLst>
                              <a:path w="12225" h="1">
                                <a:moveTo>
                                  <a:pt x="0" y="0"/>
                                </a:moveTo>
                                <a:lnTo>
                                  <a:pt x="12225" y="1"/>
                                </a:lnTo>
                              </a:path>
                            </a:pathLst>
                          </a:custGeom>
                          <a:noFill/>
                          <a:ln w="63500">
                            <a:solidFill>
                              <a:srgbClr val="2E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72C44" id="Group 2" o:spid="_x0000_s1026" style="position:absolute;margin-left:.75pt;margin-top:-29.05pt;width:611.25pt;height:.1pt;z-index:251658240;mso-position-horizontal-relative:page" coordorigin="15,-581" coordsize="12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">
                <v:shape id="Freeform 3" o:spid="_x0000_s1027" style="position:absolute;left:15;top:-581;width:12225;height:2;visibility:visible;mso-wrap-style:square;v-text-anchor:top" coordsize="12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" path="m,l12225,1e" filled="f" strokecolor="#2e8989" strokeweight="5pt">
                  <v:path arrowok="t" o:connecttype="custom" o:connectlocs="0,-1162;12225,-1160" o:connectangles="0,0"/>
                </v:shape>
                <w10:wrap anchorx="page"/>
              </v:group>
            </w:pict>
          </mc:Fallback>
        </mc:AlternateContent>
      </w:r>
      <w:r w:rsidR="001C4945" w:rsidRPr="008A44A5">
        <w:rPr>
          <w:rFonts w:ascii="FreightText Pro Semibold" w:eastAsiaTheme="minorEastAsia" w:hAnsi="FreightText Pro Semibold"/>
          <w:color w:val="2E8989"/>
          <w:sz w:val="44"/>
          <w:szCs w:val="44"/>
        </w:rPr>
        <w:t xml:space="preserve">McLaughlin Young Group </w:t>
      </w:r>
    </w:p>
    <w:p w14:paraId="1AD6D7C0" w14:textId="77777777" w:rsidR="0000714B" w:rsidRPr="008A44A5" w:rsidRDefault="001C4945" w:rsidP="00B70E68">
      <w:pPr>
        <w:spacing w:before="33"/>
        <w:ind w:right="836"/>
        <w:rPr>
          <w:rFonts w:ascii="FreightText Pro Semibold" w:eastAsiaTheme="minorEastAsia" w:hAnsi="FreightText Pro Semibold"/>
          <w:color w:val="2E8989"/>
          <w:sz w:val="44"/>
          <w:szCs w:val="44"/>
        </w:rPr>
      </w:pPr>
      <w:r w:rsidRPr="008A44A5">
        <w:rPr>
          <w:rFonts w:ascii="FreightText Pro Semibold" w:eastAsiaTheme="minorEastAsia" w:hAnsi="FreightText Pro Semibold"/>
          <w:color w:val="2E8989"/>
          <w:sz w:val="44"/>
          <w:szCs w:val="44"/>
        </w:rPr>
        <w:t>EAP Provider Handbook</w:t>
      </w:r>
    </w:p>
    <w:p w14:paraId="3F1F9ECA" w14:textId="57DCC2DC" w:rsidR="0000714B" w:rsidRDefault="001D174A">
      <w:pPr>
        <w:rPr>
          <w:rFonts w:ascii="Garamond" w:eastAsia="Garamond" w:hAnsi="Garamond" w:cs="Garamond"/>
          <w:b/>
          <w:bCs/>
          <w:sz w:val="70"/>
          <w:szCs w:val="70"/>
        </w:rPr>
      </w:pPr>
      <w:r w:rsidRPr="001D174A">
        <w:rPr>
          <w:rFonts w:ascii="FreightText Pro Semibold" w:eastAsiaTheme="minorEastAsia" w:hAnsi="FreightText Pro Semibold"/>
          <w:b/>
          <w:noProof/>
          <w:color w:val="2E8989"/>
          <w:sz w:val="44"/>
          <w:szCs w:val="54"/>
        </w:rPr>
        <mc:AlternateContent>
          <mc:Choice Requires="wpg">
            <w:drawing>
              <wp:anchor distT="0" distB="0" distL="114300" distR="114300" simplePos="0" relativeHeight="251657216" behindDoc="0" locked="0" layoutInCell="1" allowOverlap="1" wp14:anchorId="370F5832" wp14:editId="62B75938">
                <wp:simplePos x="0" y="0"/>
                <wp:positionH relativeFrom="page">
                  <wp:posOffset>9525</wp:posOffset>
                </wp:positionH>
                <wp:positionV relativeFrom="paragraph">
                  <wp:posOffset>387350</wp:posOffset>
                </wp:positionV>
                <wp:extent cx="7762875" cy="1270"/>
                <wp:effectExtent l="0" t="19050" r="28575" b="3683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270"/>
                          <a:chOff x="15" y="2509"/>
                          <a:chExt cx="12225" cy="2"/>
                        </a:xfrm>
                      </wpg:grpSpPr>
                      <wps:wsp>
                        <wps:cNvPr id="20" name="Freeform 5"/>
                        <wps:cNvSpPr>
                          <a:spLocks/>
                        </wps:cNvSpPr>
                        <wps:spPr bwMode="auto">
                          <a:xfrm>
                            <a:off x="15" y="2509"/>
                            <a:ext cx="12225" cy="2"/>
                          </a:xfrm>
                          <a:custGeom>
                            <a:avLst/>
                            <a:gdLst>
                              <a:gd name="T0" fmla="+- 0 15 15"/>
                              <a:gd name="T1" fmla="*/ T0 w 12225"/>
                              <a:gd name="T2" fmla="+- 0 2509 2509"/>
                              <a:gd name="T3" fmla="*/ 2509 h 1"/>
                              <a:gd name="T4" fmla="+- 0 12240 15"/>
                              <a:gd name="T5" fmla="*/ T4 w 12225"/>
                              <a:gd name="T6" fmla="+- 0 2510 2509"/>
                              <a:gd name="T7" fmla="*/ 2510 h 1"/>
                            </a:gdLst>
                            <a:ahLst/>
                            <a:cxnLst>
                              <a:cxn ang="0">
                                <a:pos x="T1" y="T3"/>
                              </a:cxn>
                              <a:cxn ang="0">
                                <a:pos x="T5" y="T7"/>
                              </a:cxn>
                            </a:cxnLst>
                            <a:rect l="0" t="0" r="r" b="b"/>
                            <a:pathLst>
                              <a:path w="12225" h="1">
                                <a:moveTo>
                                  <a:pt x="0" y="0"/>
                                </a:moveTo>
                                <a:lnTo>
                                  <a:pt x="12225" y="1"/>
                                </a:lnTo>
                              </a:path>
                            </a:pathLst>
                          </a:custGeom>
                          <a:noFill/>
                          <a:ln w="63500">
                            <a:solidFill>
                              <a:srgbClr val="2E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4C0AE" id="Group 4" o:spid="_x0000_s1026" style="position:absolute;margin-left:.75pt;margin-top:30.5pt;width:611.25pt;height:.1pt;z-index:251657216;mso-position-horizontal-relative:page" coordorigin="15,2509" coordsize="12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">
                <v:shape id="Freeform 5" o:spid="_x0000_s1027" style="position:absolute;left:15;top:2509;width:12225;height:2;visibility:visible;mso-wrap-style:square;v-text-anchor:top" coordsize="12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" path="m,l12225,1e" filled="f" strokecolor="#2e8989" strokeweight="5pt">
                  <v:path arrowok="t" o:connecttype="custom" o:connectlocs="0,5018;12225,5020" o:connectangles="0,0"/>
                </v:shape>
                <w10:wrap anchorx="page"/>
              </v:group>
            </w:pict>
          </mc:Fallback>
        </mc:AlternateContent>
      </w:r>
    </w:p>
    <w:p w14:paraId="3B1B9482" w14:textId="77777777" w:rsidR="0000714B" w:rsidRDefault="0000714B">
      <w:pPr>
        <w:rPr>
          <w:rFonts w:ascii="Garamond" w:eastAsia="Garamond" w:hAnsi="Garamond" w:cs="Garamond"/>
          <w:b/>
          <w:bCs/>
          <w:sz w:val="70"/>
          <w:szCs w:val="70"/>
        </w:rPr>
      </w:pPr>
    </w:p>
    <w:p w14:paraId="2C1D12FF" w14:textId="77777777" w:rsidR="001C4945" w:rsidRPr="008A44A5" w:rsidRDefault="001C4945" w:rsidP="00B70E68">
      <w:pPr>
        <w:pStyle w:val="Heading1"/>
        <w:spacing w:before="430"/>
        <w:ind w:left="0" w:right="2336"/>
        <w:jc w:val="both"/>
        <w:rPr>
          <w:rFonts w:ascii="CeraGR-Regular" w:hAnsi="CeraGR-Regular" w:cs="CeraGR-Regular"/>
          <w:b w:val="0"/>
          <w:color w:val="1F354D"/>
          <w:sz w:val="24"/>
          <w:szCs w:val="24"/>
        </w:rPr>
      </w:pPr>
      <w:r w:rsidRPr="008A44A5">
        <w:rPr>
          <w:rFonts w:ascii="CeraGR-Regular" w:hAnsi="CeraGR-Regular" w:cs="CeraGR-Regular"/>
          <w:b w:val="0"/>
          <w:color w:val="1F354D"/>
          <w:sz w:val="24"/>
          <w:szCs w:val="24"/>
        </w:rPr>
        <w:t xml:space="preserve">Founded in 1987, McLaughlin Young is an independent employee assistance program (EAP) provider, which means we are not associated with any healthcare facility or health insurance provider. We conduct a thorough assessment in order to objectively connect clients with the most appropriate resources for problem solution. </w:t>
      </w:r>
    </w:p>
    <w:p w14:paraId="726E9D52" w14:textId="77777777" w:rsidR="0000714B" w:rsidRDefault="0000714B">
      <w:pPr>
        <w:rPr>
          <w:rFonts w:ascii="Garamond" w:eastAsia="Garamond" w:hAnsi="Garamond" w:cs="Garamond"/>
          <w:b/>
          <w:bCs/>
          <w:sz w:val="20"/>
          <w:szCs w:val="20"/>
        </w:rPr>
      </w:pPr>
    </w:p>
    <w:p w14:paraId="18964715" w14:textId="77777777" w:rsidR="0000714B" w:rsidRDefault="0000714B">
      <w:pPr>
        <w:rPr>
          <w:rFonts w:ascii="Garamond" w:eastAsia="Garamond" w:hAnsi="Garamond" w:cs="Garamond"/>
          <w:b/>
          <w:bCs/>
          <w:sz w:val="20"/>
          <w:szCs w:val="20"/>
        </w:rPr>
      </w:pPr>
    </w:p>
    <w:p w14:paraId="5831A082" w14:textId="77777777" w:rsidR="0000714B" w:rsidRDefault="0000714B">
      <w:pPr>
        <w:rPr>
          <w:rFonts w:ascii="Garamond" w:eastAsia="Garamond" w:hAnsi="Garamond" w:cs="Garamond"/>
          <w:b/>
          <w:bCs/>
          <w:sz w:val="20"/>
          <w:szCs w:val="20"/>
        </w:rPr>
      </w:pPr>
    </w:p>
    <w:p w14:paraId="02E777B1" w14:textId="77777777" w:rsidR="0000714B" w:rsidRDefault="0000714B">
      <w:pPr>
        <w:rPr>
          <w:rFonts w:ascii="Garamond" w:eastAsia="Garamond" w:hAnsi="Garamond" w:cs="Garamond"/>
          <w:b/>
          <w:bCs/>
          <w:sz w:val="20"/>
          <w:szCs w:val="20"/>
        </w:rPr>
      </w:pPr>
    </w:p>
    <w:p w14:paraId="04E77A53" w14:textId="77777777" w:rsidR="0000714B" w:rsidRDefault="0000714B">
      <w:pPr>
        <w:rPr>
          <w:rFonts w:ascii="Garamond" w:eastAsia="Garamond" w:hAnsi="Garamond" w:cs="Garamond"/>
          <w:b/>
          <w:bCs/>
          <w:sz w:val="20"/>
          <w:szCs w:val="20"/>
        </w:rPr>
      </w:pPr>
    </w:p>
    <w:p w14:paraId="3F4C7E66" w14:textId="77777777" w:rsidR="0000714B" w:rsidRDefault="0000714B">
      <w:pPr>
        <w:rPr>
          <w:rFonts w:ascii="Garamond" w:eastAsia="Garamond" w:hAnsi="Garamond" w:cs="Garamond"/>
          <w:b/>
          <w:bCs/>
          <w:sz w:val="20"/>
          <w:szCs w:val="20"/>
        </w:rPr>
      </w:pPr>
    </w:p>
    <w:p w14:paraId="7499DB05" w14:textId="77777777" w:rsidR="0000714B" w:rsidRDefault="0000714B">
      <w:pPr>
        <w:rPr>
          <w:rFonts w:ascii="Garamond" w:eastAsia="Garamond" w:hAnsi="Garamond" w:cs="Garamond"/>
          <w:b/>
          <w:bCs/>
          <w:sz w:val="20"/>
          <w:szCs w:val="20"/>
        </w:rPr>
      </w:pPr>
    </w:p>
    <w:p w14:paraId="4D7446C7" w14:textId="77777777" w:rsidR="0000714B" w:rsidRDefault="0000714B">
      <w:pPr>
        <w:rPr>
          <w:rFonts w:ascii="Garamond" w:eastAsia="Garamond" w:hAnsi="Garamond" w:cs="Garamond"/>
          <w:b/>
          <w:bCs/>
          <w:sz w:val="20"/>
          <w:szCs w:val="20"/>
        </w:rPr>
      </w:pPr>
    </w:p>
    <w:p w14:paraId="00CC12CB" w14:textId="77777777" w:rsidR="0000714B" w:rsidRDefault="0000714B">
      <w:pPr>
        <w:rPr>
          <w:rFonts w:ascii="Garamond" w:eastAsia="Garamond" w:hAnsi="Garamond" w:cs="Garamond"/>
          <w:b/>
          <w:bCs/>
          <w:sz w:val="20"/>
          <w:szCs w:val="20"/>
        </w:rPr>
      </w:pPr>
    </w:p>
    <w:p w14:paraId="2FF9A8B3" w14:textId="77777777" w:rsidR="001C4945" w:rsidRDefault="001C4945">
      <w:pPr>
        <w:rPr>
          <w:rFonts w:ascii="Garamond" w:eastAsia="Garamond" w:hAnsi="Garamond" w:cs="Garamond"/>
          <w:b/>
          <w:bCs/>
          <w:sz w:val="20"/>
          <w:szCs w:val="20"/>
        </w:rPr>
      </w:pPr>
    </w:p>
    <w:p w14:paraId="17C9A24A" w14:textId="77777777" w:rsidR="0000714B" w:rsidRDefault="0000714B">
      <w:pPr>
        <w:rPr>
          <w:rFonts w:ascii="Garamond" w:eastAsia="Garamond" w:hAnsi="Garamond" w:cs="Garamond"/>
          <w:b/>
          <w:bCs/>
          <w:sz w:val="20"/>
          <w:szCs w:val="20"/>
        </w:rPr>
      </w:pPr>
    </w:p>
    <w:p w14:paraId="2D63A5E5" w14:textId="77777777" w:rsidR="005C4256" w:rsidRDefault="005C4256">
      <w:pPr>
        <w:rPr>
          <w:rFonts w:ascii="Garamond" w:eastAsia="Garamond" w:hAnsi="Garamond" w:cs="Garamond"/>
          <w:b/>
          <w:bCs/>
          <w:sz w:val="20"/>
          <w:szCs w:val="20"/>
        </w:rPr>
      </w:pPr>
    </w:p>
    <w:p w14:paraId="62E01C71" w14:textId="77777777" w:rsidR="005C4256" w:rsidRDefault="005C4256">
      <w:pPr>
        <w:rPr>
          <w:rFonts w:ascii="Garamond" w:eastAsia="Garamond" w:hAnsi="Garamond" w:cs="Garamond"/>
          <w:b/>
          <w:bCs/>
          <w:sz w:val="20"/>
          <w:szCs w:val="20"/>
        </w:rPr>
      </w:pPr>
    </w:p>
    <w:p w14:paraId="4AAFFFDE" w14:textId="77777777" w:rsidR="005C4256" w:rsidRDefault="005C4256">
      <w:pPr>
        <w:rPr>
          <w:rFonts w:ascii="Garamond" w:eastAsia="Garamond" w:hAnsi="Garamond" w:cs="Garamond"/>
          <w:b/>
          <w:bCs/>
          <w:sz w:val="20"/>
          <w:szCs w:val="20"/>
        </w:rPr>
      </w:pPr>
    </w:p>
    <w:p w14:paraId="5CF7BD84" w14:textId="77777777" w:rsidR="005C4256" w:rsidRDefault="005C4256">
      <w:pPr>
        <w:rPr>
          <w:rFonts w:ascii="Garamond" w:eastAsia="Garamond" w:hAnsi="Garamond" w:cs="Garamond"/>
          <w:b/>
          <w:bCs/>
          <w:sz w:val="20"/>
          <w:szCs w:val="20"/>
        </w:rPr>
      </w:pPr>
    </w:p>
    <w:p w14:paraId="272E50F0" w14:textId="77777777" w:rsidR="005C4256" w:rsidRDefault="005C4256">
      <w:pPr>
        <w:rPr>
          <w:rFonts w:ascii="Garamond" w:eastAsia="Garamond" w:hAnsi="Garamond" w:cs="Garamond"/>
          <w:b/>
          <w:bCs/>
          <w:sz w:val="20"/>
          <w:szCs w:val="20"/>
        </w:rPr>
      </w:pPr>
    </w:p>
    <w:p w14:paraId="36E3D4D0" w14:textId="00A51972" w:rsidR="001D174A" w:rsidRPr="00DE4E7C" w:rsidRDefault="001C4945" w:rsidP="00DE4E7C">
      <w:pPr>
        <w:tabs>
          <w:tab w:val="left" w:pos="8820"/>
        </w:tabs>
        <w:spacing w:before="198"/>
        <w:ind w:right="1620"/>
        <w:rPr>
          <w:rFonts w:ascii="CeraGR-Regular" w:hAnsi="CeraGR-Regular" w:cs="CeraGR-Regular"/>
          <w:color w:val="474746"/>
          <w:sz w:val="18"/>
          <w:szCs w:val="18"/>
        </w:rPr>
        <w:sectPr w:rsidR="001D174A" w:rsidRPr="00DE4E7C" w:rsidSect="00F2180D">
          <w:headerReference w:type="default" r:id="rId8"/>
          <w:footerReference w:type="default" r:id="rId9"/>
          <w:headerReference w:type="first" r:id="rId10"/>
          <w:footerReference w:type="first" r:id="rId11"/>
          <w:type w:val="continuous"/>
          <w:pgSz w:w="12240" w:h="15840"/>
          <w:pgMar w:top="500" w:right="0" w:bottom="1200" w:left="1260" w:header="360" w:footer="360" w:gutter="0"/>
          <w:pgNumType w:start="1"/>
          <w:cols w:space="720"/>
          <w:docGrid w:linePitch="299"/>
        </w:sectPr>
      </w:pPr>
      <w:r w:rsidRPr="00073196">
        <w:rPr>
          <w:rFonts w:ascii="CeraGR-Regular" w:hAnsi="CeraGR-Regular" w:cs="CeraGR-Regular"/>
          <w:color w:val="474746"/>
          <w:sz w:val="18"/>
          <w:szCs w:val="18"/>
        </w:rPr>
        <w:t xml:space="preserve">The </w:t>
      </w:r>
      <w:r w:rsidR="00FD6744">
        <w:rPr>
          <w:rFonts w:ascii="CeraGR-Regular" w:hAnsi="CeraGR-Regular" w:cs="CeraGR-Regular"/>
          <w:color w:val="474746"/>
          <w:sz w:val="18"/>
          <w:szCs w:val="18"/>
        </w:rPr>
        <w:t>MYgroup</w:t>
      </w:r>
      <w:r w:rsidRPr="00073196">
        <w:rPr>
          <w:rFonts w:ascii="CeraGR-Regular" w:hAnsi="CeraGR-Regular" w:cs="CeraGR-Regular"/>
          <w:color w:val="474746"/>
          <w:sz w:val="18"/>
          <w:szCs w:val="18"/>
        </w:rPr>
        <w:t xml:space="preserve"> Provider Handbook, all or in part, is for limited us</w:t>
      </w:r>
      <w:r w:rsidR="00B70E68">
        <w:rPr>
          <w:rFonts w:ascii="CeraGR-Regular" w:hAnsi="CeraGR-Regular" w:cs="CeraGR-Regular"/>
          <w:color w:val="474746"/>
          <w:sz w:val="18"/>
          <w:szCs w:val="18"/>
        </w:rPr>
        <w:t xml:space="preserve">e as a network provider. Do not </w:t>
      </w:r>
      <w:r w:rsidRPr="00073196">
        <w:rPr>
          <w:rFonts w:ascii="CeraGR-Regular" w:hAnsi="CeraGR-Regular" w:cs="CeraGR-Regular"/>
          <w:color w:val="474746"/>
          <w:sz w:val="18"/>
          <w:szCs w:val="18"/>
        </w:rPr>
        <w:t>redistribute or make additional copies.</w:t>
      </w:r>
      <w:r w:rsidR="00614D5F">
        <w:rPr>
          <w:rFonts w:ascii="CeraGR-Regular" w:hAnsi="CeraGR-Regular" w:cs="CeraGR-Regular"/>
          <w:color w:val="474746"/>
          <w:sz w:val="18"/>
          <w:szCs w:val="18"/>
        </w:rPr>
        <w:t xml:space="preserve">  </w:t>
      </w:r>
      <w:r w:rsidR="001D174A" w:rsidRPr="00073196">
        <w:rPr>
          <w:rFonts w:ascii="CeraGR-Regular" w:hAnsi="CeraGR-Regular" w:cs="CeraGR-Regular"/>
          <w:color w:val="474746"/>
          <w:sz w:val="18"/>
          <w:szCs w:val="18"/>
        </w:rPr>
        <w:t xml:space="preserve">McLaughlin Young Group </w:t>
      </w:r>
      <w:r w:rsidR="001D174A" w:rsidRPr="00073196">
        <w:rPr>
          <w:rFonts w:ascii="Arial" w:hAnsi="Arial" w:cs="Arial"/>
          <w:color w:val="474746"/>
          <w:sz w:val="18"/>
          <w:szCs w:val="18"/>
        </w:rPr>
        <w:t>©</w:t>
      </w:r>
      <w:r w:rsidR="00DE4E7C">
        <w:rPr>
          <w:rFonts w:ascii="CeraGR-Regular" w:hAnsi="CeraGR-Regular" w:cs="CeraGR-Regular"/>
          <w:color w:val="474746"/>
          <w:sz w:val="18"/>
          <w:szCs w:val="18"/>
        </w:rPr>
        <w:t xml:space="preserve"> 20</w:t>
      </w:r>
      <w:r w:rsidR="0062547C">
        <w:rPr>
          <w:rFonts w:ascii="CeraGR-Regular" w:hAnsi="CeraGR-Regular" w:cs="CeraGR-Regular"/>
          <w:color w:val="474746"/>
          <w:sz w:val="18"/>
          <w:szCs w:val="18"/>
        </w:rPr>
        <w:t>20</w:t>
      </w:r>
    </w:p>
    <w:p w14:paraId="5D68104B" w14:textId="77777777" w:rsidR="009428C3" w:rsidRDefault="009428C3" w:rsidP="001D174A">
      <w:pPr>
        <w:spacing w:before="65"/>
        <w:ind w:right="2361"/>
        <w:rPr>
          <w:rFonts w:ascii="FreightText Pro Semibold" w:eastAsiaTheme="minorEastAsia" w:hAnsi="FreightText Pro Semibold"/>
          <w:color w:val="2E8989"/>
          <w:sz w:val="44"/>
          <w:szCs w:val="54"/>
        </w:rPr>
      </w:pPr>
    </w:p>
    <w:p w14:paraId="7C45FA30" w14:textId="77777777" w:rsidR="0000714B" w:rsidRPr="00073196" w:rsidRDefault="001C4945" w:rsidP="001D174A">
      <w:pPr>
        <w:spacing w:before="65"/>
        <w:ind w:right="2361"/>
        <w:rPr>
          <w:rFonts w:ascii="FreightText Pro Semibold" w:eastAsiaTheme="minorEastAsia" w:hAnsi="FreightText Pro Semibold"/>
          <w:color w:val="2E8989"/>
          <w:sz w:val="44"/>
          <w:szCs w:val="54"/>
        </w:rPr>
      </w:pPr>
      <w:r w:rsidRPr="00073196">
        <w:rPr>
          <w:rFonts w:ascii="FreightText Pro Semibold" w:eastAsiaTheme="minorEastAsia" w:hAnsi="FreightText Pro Semibold"/>
          <w:color w:val="2E8989"/>
          <w:sz w:val="44"/>
          <w:szCs w:val="54"/>
        </w:rPr>
        <w:t>Contents</w:t>
      </w:r>
    </w:p>
    <w:p w14:paraId="239C07B0" w14:textId="77777777" w:rsidR="0000714B" w:rsidRPr="009216D5" w:rsidRDefault="006633BC" w:rsidP="00254D23">
      <w:pPr>
        <w:pStyle w:val="Heading2"/>
        <w:numPr>
          <w:ilvl w:val="0"/>
          <w:numId w:val="9"/>
        </w:numPr>
        <w:tabs>
          <w:tab w:val="left" w:pos="1561"/>
        </w:tabs>
        <w:spacing w:before="315"/>
        <w:ind w:right="2522"/>
        <w:rPr>
          <w:rFonts w:ascii="CeraGR-Regular" w:eastAsiaTheme="minorHAnsi" w:hAnsi="CeraGR-Regular" w:cs="CeraGR-Regular"/>
          <w:bCs w:val="0"/>
          <w:color w:val="1F354D"/>
          <w:sz w:val="24"/>
          <w:szCs w:val="24"/>
          <w:u w:val="single"/>
        </w:rPr>
      </w:pPr>
      <w:hyperlink w:anchor="_bookmark0" w:history="1">
        <w:r w:rsidR="001C4945" w:rsidRPr="009216D5">
          <w:rPr>
            <w:rFonts w:ascii="CeraGR-Regular" w:eastAsiaTheme="minorHAnsi" w:hAnsi="CeraGR-Regular" w:cs="CeraGR-Regular"/>
            <w:bCs w:val="0"/>
            <w:color w:val="1F354D"/>
            <w:sz w:val="24"/>
            <w:szCs w:val="24"/>
            <w:u w:val="single"/>
          </w:rPr>
          <w:t>SUPPORTING HEALTHY &amp; PRODUCTIVE</w:t>
        </w:r>
      </w:hyperlink>
      <w:r w:rsidR="001D174A" w:rsidRPr="009216D5">
        <w:rPr>
          <w:rFonts w:ascii="CeraGR-Regular" w:eastAsiaTheme="minorHAnsi" w:hAnsi="CeraGR-Regular" w:cs="CeraGR-Regular"/>
          <w:bCs w:val="0"/>
          <w:color w:val="1F354D"/>
          <w:sz w:val="24"/>
          <w:szCs w:val="24"/>
          <w:u w:val="single"/>
        </w:rPr>
        <w:t xml:space="preserve"> EMPLOYEES </w:t>
      </w:r>
    </w:p>
    <w:p w14:paraId="33DFB558" w14:textId="77777777" w:rsidR="0000714B" w:rsidRPr="00F2180D" w:rsidRDefault="001C4945">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How our EAP Works</w:t>
      </w:r>
    </w:p>
    <w:p w14:paraId="283CB29C" w14:textId="77777777" w:rsidR="00084013" w:rsidRPr="00F2180D" w:rsidRDefault="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EAP Design &amp; Process</w:t>
      </w:r>
    </w:p>
    <w:p w14:paraId="3B9CC2A5" w14:textId="77777777" w:rsidR="00084013" w:rsidRPr="00F2180D" w:rsidRDefault="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Dual Client Relationships</w:t>
      </w:r>
    </w:p>
    <w:p w14:paraId="07E401B9" w14:textId="77777777" w:rsidR="0000714B" w:rsidRPr="00F2180D" w:rsidRDefault="00084013" w:rsidP="00B90918">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EAP Ethics &amp; EAPA</w:t>
      </w:r>
    </w:p>
    <w:p w14:paraId="5122B826" w14:textId="77777777" w:rsidR="00084013" w:rsidRPr="001C4945" w:rsidRDefault="00084013">
      <w:pPr>
        <w:spacing w:before="5"/>
        <w:rPr>
          <w:rFonts w:ascii="Garamond" w:eastAsia="Garamond" w:hAnsi="Garamond" w:cs="Garamond"/>
          <w:sz w:val="26"/>
          <w:szCs w:val="26"/>
        </w:rPr>
      </w:pPr>
    </w:p>
    <w:p w14:paraId="3BFF6E82" w14:textId="77777777" w:rsidR="0000714B" w:rsidRPr="009216D5" w:rsidRDefault="006633BC" w:rsidP="00254D23">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1" w:history="1">
        <w:r w:rsidR="001C4945" w:rsidRPr="009216D5">
          <w:rPr>
            <w:rFonts w:ascii="CeraGR-Regular" w:eastAsiaTheme="minorHAnsi" w:hAnsi="CeraGR-Regular" w:cs="CeraGR-Regular"/>
            <w:bCs w:val="0"/>
            <w:color w:val="1F354D"/>
            <w:sz w:val="24"/>
            <w:szCs w:val="24"/>
            <w:u w:val="single"/>
          </w:rPr>
          <w:t>PROVIDER ON-BOARDING &amp; RE-CREDENTIALING</w:t>
        </w:r>
      </w:hyperlink>
    </w:p>
    <w:p w14:paraId="513F4FDC"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The Provider Role</w:t>
      </w:r>
    </w:p>
    <w:p w14:paraId="04E79493"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Provider On-Boarding Process</w:t>
      </w:r>
    </w:p>
    <w:p w14:paraId="433B8339" w14:textId="119043CE" w:rsidR="0000714B" w:rsidRPr="00F2180D" w:rsidRDefault="00FD6744"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Credentialing Standards</w:t>
      </w:r>
    </w:p>
    <w:p w14:paraId="5D2607E8"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Updating Provider Profile Information</w:t>
      </w:r>
    </w:p>
    <w:p w14:paraId="170A4632"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Quality Assurance &amp; HIPAA Compliance</w:t>
      </w:r>
    </w:p>
    <w:p w14:paraId="0033A9C2"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Additional Trainings &amp; Certifications</w:t>
      </w:r>
    </w:p>
    <w:p w14:paraId="590436CA"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Terms of Business Associate Agreement Termination</w:t>
      </w:r>
    </w:p>
    <w:p w14:paraId="11B6CFE2" w14:textId="77777777" w:rsidR="0000714B" w:rsidRDefault="0000714B">
      <w:pPr>
        <w:spacing w:before="11"/>
        <w:rPr>
          <w:rFonts w:ascii="Garamond" w:eastAsia="Garamond" w:hAnsi="Garamond" w:cs="Garamond"/>
          <w:sz w:val="26"/>
          <w:szCs w:val="26"/>
        </w:rPr>
      </w:pPr>
    </w:p>
    <w:p w14:paraId="2D51D390" w14:textId="3BFDE098" w:rsidR="0000714B" w:rsidRPr="009216D5" w:rsidRDefault="006633BC" w:rsidP="00254D23">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2" w:history="1">
        <w:r w:rsidR="001C4945" w:rsidRPr="009216D5">
          <w:rPr>
            <w:rFonts w:ascii="CeraGR-Regular" w:eastAsiaTheme="minorHAnsi" w:hAnsi="CeraGR-Regular" w:cs="CeraGR-Regular"/>
            <w:bCs w:val="0"/>
            <w:color w:val="1F354D"/>
            <w:sz w:val="24"/>
            <w:szCs w:val="24"/>
            <w:u w:val="single"/>
          </w:rPr>
          <w:t xml:space="preserve">THE </w:t>
        </w:r>
        <w:r w:rsidR="00FD6744">
          <w:rPr>
            <w:rFonts w:ascii="CeraGR-Regular" w:eastAsiaTheme="minorHAnsi" w:hAnsi="CeraGR-Regular" w:cs="CeraGR-Regular"/>
            <w:bCs w:val="0"/>
            <w:color w:val="1F354D"/>
            <w:sz w:val="24"/>
            <w:szCs w:val="24"/>
            <w:u w:val="single"/>
          </w:rPr>
          <w:t>MYgroup</w:t>
        </w:r>
        <w:r w:rsidR="001C4945" w:rsidRPr="009216D5">
          <w:rPr>
            <w:rFonts w:ascii="CeraGR-Regular" w:eastAsiaTheme="minorHAnsi" w:hAnsi="CeraGR-Regular" w:cs="CeraGR-Regular"/>
            <w:bCs w:val="0"/>
            <w:color w:val="1F354D"/>
            <w:sz w:val="24"/>
            <w:szCs w:val="24"/>
            <w:u w:val="single"/>
          </w:rPr>
          <w:t xml:space="preserve"> INTAKE &amp; REFERRAL PROCESS</w:t>
        </w:r>
      </w:hyperlink>
    </w:p>
    <w:p w14:paraId="372E1993"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Session Models &amp; Authorization Process</w:t>
      </w:r>
    </w:p>
    <w:p w14:paraId="7E97E335"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Requesting Additional Sessions</w:t>
      </w:r>
    </w:p>
    <w:p w14:paraId="23F45B0C"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Clinically-Appropriate Referrals</w:t>
      </w:r>
    </w:p>
    <w:p w14:paraId="70559953"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How to Handle Clients’ Legal Concerns</w:t>
      </w:r>
    </w:p>
    <w:p w14:paraId="1EE7E750" w14:textId="77777777" w:rsidR="0000714B" w:rsidRPr="001C4945" w:rsidRDefault="0000714B">
      <w:pPr>
        <w:rPr>
          <w:rFonts w:ascii="Garamond" w:eastAsia="Garamond" w:hAnsi="Garamond" w:cs="Garamond"/>
          <w:sz w:val="26"/>
          <w:szCs w:val="26"/>
        </w:rPr>
      </w:pPr>
    </w:p>
    <w:p w14:paraId="41A199BD" w14:textId="6A1FA82B" w:rsidR="0000714B" w:rsidRPr="009216D5" w:rsidRDefault="006633BC" w:rsidP="00254D23">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3" w:history="1">
        <w:r w:rsidR="001C4945" w:rsidRPr="009216D5">
          <w:rPr>
            <w:rFonts w:ascii="CeraGR-Regular" w:eastAsiaTheme="minorHAnsi" w:hAnsi="CeraGR-Regular" w:cs="CeraGR-Regular"/>
            <w:bCs w:val="0"/>
            <w:color w:val="1F354D"/>
            <w:sz w:val="24"/>
            <w:szCs w:val="24"/>
            <w:u w:val="single"/>
          </w:rPr>
          <w:t xml:space="preserve">THE </w:t>
        </w:r>
        <w:r w:rsidR="00FD6744">
          <w:rPr>
            <w:rFonts w:ascii="CeraGR-Regular" w:eastAsiaTheme="minorHAnsi" w:hAnsi="CeraGR-Regular" w:cs="CeraGR-Regular"/>
            <w:bCs w:val="0"/>
            <w:color w:val="1F354D"/>
            <w:sz w:val="24"/>
            <w:szCs w:val="24"/>
            <w:u w:val="single"/>
          </w:rPr>
          <w:t>MYgroup</w:t>
        </w:r>
        <w:r w:rsidR="001C4945" w:rsidRPr="009216D5">
          <w:rPr>
            <w:rFonts w:ascii="CeraGR-Regular" w:eastAsiaTheme="minorHAnsi" w:hAnsi="CeraGR-Regular" w:cs="CeraGR-Regular"/>
            <w:bCs w:val="0"/>
            <w:color w:val="1F354D"/>
            <w:sz w:val="24"/>
            <w:szCs w:val="24"/>
            <w:u w:val="single"/>
          </w:rPr>
          <w:t xml:space="preserve"> PROVIDER TREATMENT GUIDELINES</w:t>
        </w:r>
      </w:hyperlink>
    </w:p>
    <w:p w14:paraId="6F93D1E8"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Guidelines for Treatment</w:t>
      </w:r>
    </w:p>
    <w:p w14:paraId="14E8A0DA"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Duty to Warn</w:t>
      </w:r>
    </w:p>
    <w:p w14:paraId="3B6F9081"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Brief Assessment &amp; Referral Guidelines</w:t>
      </w:r>
    </w:p>
    <w:p w14:paraId="42077F60"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Short-Term Problem Resolution (Brief Treatment)</w:t>
      </w:r>
    </w:p>
    <w:p w14:paraId="34AE6FE6"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Guidelines</w:t>
      </w:r>
    </w:p>
    <w:p w14:paraId="2307A538"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Specialized &amp; Long-Term Treatment Guidelines</w:t>
      </w:r>
    </w:p>
    <w:p w14:paraId="775A26F0" w14:textId="77777777" w:rsidR="0000714B" w:rsidRDefault="0000714B">
      <w:pPr>
        <w:spacing w:line="325" w:lineRule="exact"/>
        <w:sectPr w:rsidR="0000714B" w:rsidSect="00B90918">
          <w:headerReference w:type="default" r:id="rId12"/>
          <w:pgSz w:w="12240" w:h="15840"/>
          <w:pgMar w:top="1300" w:right="1220" w:bottom="1200" w:left="1320" w:header="360" w:footer="360" w:gutter="0"/>
          <w:cols w:space="720"/>
          <w:titlePg/>
          <w:docGrid w:linePitch="299"/>
        </w:sectPr>
      </w:pPr>
    </w:p>
    <w:p w14:paraId="5894BDF9" w14:textId="77777777" w:rsidR="0000714B" w:rsidRDefault="0000714B">
      <w:pPr>
        <w:rPr>
          <w:rFonts w:ascii="Garamond" w:eastAsia="Garamond" w:hAnsi="Garamond" w:cs="Garamond"/>
          <w:sz w:val="20"/>
          <w:szCs w:val="20"/>
        </w:rPr>
      </w:pPr>
    </w:p>
    <w:p w14:paraId="5D48CBCD" w14:textId="77777777" w:rsidR="0000714B" w:rsidRDefault="0000714B">
      <w:pPr>
        <w:rPr>
          <w:rFonts w:ascii="Garamond" w:eastAsia="Garamond" w:hAnsi="Garamond" w:cs="Garamond"/>
          <w:sz w:val="20"/>
          <w:szCs w:val="20"/>
        </w:rPr>
      </w:pPr>
    </w:p>
    <w:p w14:paraId="4CBF6937" w14:textId="77777777" w:rsidR="0000714B" w:rsidRPr="00073196" w:rsidRDefault="0000714B">
      <w:pPr>
        <w:spacing w:before="9"/>
        <w:rPr>
          <w:rFonts w:ascii="Garamond" w:eastAsia="Garamond" w:hAnsi="Garamond" w:cs="Garamond"/>
          <w:color w:val="1F354D"/>
          <w:sz w:val="21"/>
          <w:szCs w:val="21"/>
        </w:rPr>
      </w:pPr>
    </w:p>
    <w:p w14:paraId="6634327A" w14:textId="77777777" w:rsidR="0000714B" w:rsidRPr="009216D5" w:rsidRDefault="006633BC" w:rsidP="00254D23">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4" w:history="1">
        <w:r w:rsidR="001C4945" w:rsidRPr="009216D5">
          <w:rPr>
            <w:rFonts w:ascii="CeraGR-Regular" w:eastAsiaTheme="minorHAnsi" w:hAnsi="CeraGR-Regular" w:cs="CeraGR-Regular"/>
            <w:bCs w:val="0"/>
            <w:color w:val="1F354D"/>
            <w:sz w:val="24"/>
            <w:szCs w:val="24"/>
            <w:u w:val="single"/>
          </w:rPr>
          <w:t>FORMAL MANAGEMENT REFERRAL / MANDATED</w:t>
        </w:r>
      </w:hyperlink>
      <w:r w:rsidR="001C4945" w:rsidRPr="009216D5">
        <w:rPr>
          <w:rFonts w:ascii="CeraGR-Regular" w:eastAsiaTheme="minorHAnsi" w:hAnsi="CeraGR-Regular" w:cs="CeraGR-Regular"/>
          <w:bCs w:val="0"/>
          <w:color w:val="1F354D"/>
          <w:sz w:val="24"/>
          <w:szCs w:val="24"/>
          <w:u w:val="single"/>
        </w:rPr>
        <w:t xml:space="preserve"> </w:t>
      </w:r>
      <w:hyperlink w:anchor="_bookmark4" w:history="1">
        <w:r w:rsidR="001C4945" w:rsidRPr="009216D5">
          <w:rPr>
            <w:rFonts w:ascii="CeraGR-Regular" w:eastAsiaTheme="minorHAnsi" w:hAnsi="CeraGR-Regular" w:cs="CeraGR-Regular"/>
            <w:bCs w:val="0"/>
            <w:color w:val="1F354D"/>
            <w:sz w:val="24"/>
            <w:szCs w:val="24"/>
            <w:u w:val="single"/>
          </w:rPr>
          <w:t xml:space="preserve"> TREATMENT PROCESS</w:t>
        </w:r>
      </w:hyperlink>
    </w:p>
    <w:p w14:paraId="7B8167CE"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Purpose of Formal Supervisor Referrals</w:t>
      </w:r>
    </w:p>
    <w:p w14:paraId="2E7842D9"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Substance Abuse Issues</w:t>
      </w:r>
    </w:p>
    <w:p w14:paraId="56A93FCB"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Assessment Sessions &amp; Termination of EAP Services</w:t>
      </w:r>
    </w:p>
    <w:p w14:paraId="36013B18" w14:textId="5E2A6238"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Communication with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w:t>
      </w:r>
    </w:p>
    <w:p w14:paraId="6844D438"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Communication with the Employer</w:t>
      </w:r>
    </w:p>
    <w:p w14:paraId="338E53A4"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Communication with Treatment Providers</w:t>
      </w:r>
    </w:p>
    <w:p w14:paraId="762B989C"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Remember: The EAP Serves Two Clients</w:t>
      </w:r>
    </w:p>
    <w:p w14:paraId="018A974E" w14:textId="77777777" w:rsidR="0000714B" w:rsidRDefault="0000714B">
      <w:pPr>
        <w:spacing w:before="11"/>
        <w:rPr>
          <w:rFonts w:ascii="Garamond" w:eastAsia="Garamond" w:hAnsi="Garamond" w:cs="Garamond"/>
          <w:sz w:val="26"/>
          <w:szCs w:val="26"/>
        </w:rPr>
      </w:pPr>
    </w:p>
    <w:p w14:paraId="3CDB3DEA" w14:textId="6F2AFDB9" w:rsidR="0000714B" w:rsidRPr="009216D5" w:rsidRDefault="001C4945" w:rsidP="00254D23">
      <w:pPr>
        <w:pStyle w:val="Heading2"/>
        <w:numPr>
          <w:ilvl w:val="0"/>
          <w:numId w:val="9"/>
        </w:numPr>
        <w:tabs>
          <w:tab w:val="left" w:pos="1561"/>
        </w:tabs>
        <w:rPr>
          <w:b w:val="0"/>
          <w:bCs w:val="0"/>
          <w:color w:val="1F354D"/>
          <w:sz w:val="24"/>
          <w:szCs w:val="24"/>
        </w:rPr>
      </w:pPr>
      <w:r w:rsidRPr="009216D5">
        <w:rPr>
          <w:rFonts w:ascii="CeraGR-Regular" w:eastAsiaTheme="minorHAnsi" w:hAnsi="CeraGR-Regular" w:cs="CeraGR-Regular"/>
          <w:bCs w:val="0"/>
          <w:color w:val="1F354D"/>
          <w:sz w:val="24"/>
          <w:szCs w:val="24"/>
          <w:u w:val="single"/>
        </w:rPr>
        <w:t xml:space="preserve">CRITICAL INCIDENT </w:t>
      </w:r>
      <w:r w:rsidR="00B92E77">
        <w:rPr>
          <w:rFonts w:ascii="CeraGR-Regular" w:eastAsiaTheme="minorHAnsi" w:hAnsi="CeraGR-Regular" w:cs="CeraGR-Regular"/>
          <w:bCs w:val="0"/>
          <w:color w:val="1F354D"/>
          <w:sz w:val="24"/>
          <w:szCs w:val="24"/>
          <w:u w:val="single"/>
        </w:rPr>
        <w:t>RESPONSE</w:t>
      </w:r>
      <w:r w:rsidR="00163FF9">
        <w:rPr>
          <w:rFonts w:ascii="CeraGR-Regular" w:eastAsiaTheme="minorHAnsi" w:hAnsi="CeraGR-Regular" w:cs="CeraGR-Regular"/>
          <w:bCs w:val="0"/>
          <w:color w:val="1F354D"/>
          <w:sz w:val="24"/>
          <w:szCs w:val="24"/>
          <w:u w:val="single"/>
        </w:rPr>
        <w:t xml:space="preserve"> </w:t>
      </w:r>
      <w:r w:rsidR="00023CCB">
        <w:rPr>
          <w:rFonts w:ascii="CeraGR-Regular" w:eastAsiaTheme="minorHAnsi" w:hAnsi="CeraGR-Regular" w:cs="CeraGR-Regular"/>
          <w:bCs w:val="0"/>
          <w:color w:val="1F354D"/>
          <w:sz w:val="24"/>
          <w:szCs w:val="24"/>
          <w:u w:val="single"/>
        </w:rPr>
        <w:t xml:space="preserve">SERVICES </w:t>
      </w:r>
      <w:r w:rsidR="00163FF9">
        <w:rPr>
          <w:rFonts w:ascii="CeraGR-Regular" w:eastAsiaTheme="minorHAnsi" w:hAnsi="CeraGR-Regular" w:cs="CeraGR-Regular"/>
          <w:bCs w:val="0"/>
          <w:color w:val="1F354D"/>
          <w:sz w:val="24"/>
          <w:szCs w:val="24"/>
          <w:u w:val="single"/>
        </w:rPr>
        <w:t>(aka CISD)</w:t>
      </w:r>
    </w:p>
    <w:p w14:paraId="41E304CA"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Goal for Critical Incident Response (CISD)</w:t>
      </w:r>
    </w:p>
    <w:p w14:paraId="3D3B82F7" w14:textId="593F0B70" w:rsidR="0000714B" w:rsidRPr="00F2180D" w:rsidRDefault="00FD6744"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MYgroup</w:t>
      </w:r>
      <w:r w:rsidR="00B92E77">
        <w:rPr>
          <w:rFonts w:ascii="CeraGR-Regular" w:eastAsiaTheme="minorHAnsi" w:hAnsi="CeraGR-Regular" w:cs="CeraGR-Regular"/>
          <w:color w:val="474746"/>
          <w:sz w:val="18"/>
          <w:szCs w:val="18"/>
        </w:rPr>
        <w:t xml:space="preserve"> </w:t>
      </w:r>
      <w:r w:rsidR="006F364A">
        <w:rPr>
          <w:rFonts w:ascii="CeraGR-Regular" w:eastAsiaTheme="minorHAnsi" w:hAnsi="CeraGR-Regular" w:cs="CeraGR-Regular"/>
          <w:color w:val="474746"/>
          <w:sz w:val="18"/>
          <w:szCs w:val="18"/>
        </w:rPr>
        <w:t xml:space="preserve">Critical Incident Response </w:t>
      </w:r>
      <w:r w:rsidR="007438CC">
        <w:rPr>
          <w:rFonts w:ascii="CeraGR-Regular" w:eastAsiaTheme="minorHAnsi" w:hAnsi="CeraGR-Regular" w:cs="CeraGR-Regular"/>
          <w:color w:val="474746"/>
          <w:sz w:val="18"/>
          <w:szCs w:val="18"/>
        </w:rPr>
        <w:t>Services</w:t>
      </w:r>
    </w:p>
    <w:p w14:paraId="2F1BFF72" w14:textId="62A6B84E"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w:t>
      </w:r>
      <w:r w:rsidR="006F364A">
        <w:rPr>
          <w:rFonts w:ascii="CeraGR-Regular" w:eastAsiaTheme="minorHAnsi" w:hAnsi="CeraGR-Regular" w:cs="CeraGR-Regular"/>
          <w:color w:val="474746"/>
          <w:sz w:val="18"/>
          <w:szCs w:val="18"/>
        </w:rPr>
        <w:t>ritical Incident Response</w:t>
      </w:r>
      <w:r w:rsidRPr="00F2180D">
        <w:rPr>
          <w:rFonts w:ascii="CeraGR-Regular" w:eastAsiaTheme="minorHAnsi" w:hAnsi="CeraGR-Regular" w:cs="CeraGR-Regular"/>
          <w:color w:val="474746"/>
          <w:sz w:val="18"/>
          <w:szCs w:val="18"/>
        </w:rPr>
        <w:t xml:space="preserve"> Training</w:t>
      </w:r>
    </w:p>
    <w:p w14:paraId="6023775A" w14:textId="77777777" w:rsidR="0000714B" w:rsidRPr="009216D5" w:rsidRDefault="0000714B">
      <w:pPr>
        <w:spacing w:before="2"/>
        <w:rPr>
          <w:rFonts w:ascii="Garamond" w:eastAsia="Garamond" w:hAnsi="Garamond" w:cs="Garamond"/>
          <w:sz w:val="24"/>
          <w:szCs w:val="24"/>
        </w:rPr>
      </w:pPr>
    </w:p>
    <w:p w14:paraId="4BA6A7B6" w14:textId="77777777" w:rsidR="0000714B" w:rsidRPr="009216D5" w:rsidRDefault="006633BC" w:rsidP="00254D23">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6" w:history="1">
        <w:r w:rsidR="001C4945" w:rsidRPr="009216D5">
          <w:rPr>
            <w:rFonts w:ascii="CeraGR-Regular" w:eastAsiaTheme="minorHAnsi" w:hAnsi="CeraGR-Regular" w:cs="CeraGR-Regular"/>
            <w:bCs w:val="0"/>
            <w:color w:val="1F354D"/>
            <w:sz w:val="24"/>
            <w:szCs w:val="24"/>
            <w:u w:val="single"/>
          </w:rPr>
          <w:t>ADDITIONAL SERVICES</w:t>
        </w:r>
      </w:hyperlink>
    </w:p>
    <w:p w14:paraId="537CE029" w14:textId="4D8AF72C"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Work-Life Services for Employees Utilizing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EAP</w:t>
      </w:r>
    </w:p>
    <w:p w14:paraId="78B06613" w14:textId="1A8FE8C3"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Core Training Programs Lead by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EAP Providers</w:t>
      </w:r>
    </w:p>
    <w:p w14:paraId="2248D74C" w14:textId="77777777" w:rsidR="0000714B" w:rsidRDefault="0000714B">
      <w:pPr>
        <w:spacing w:before="11"/>
        <w:rPr>
          <w:rFonts w:ascii="Garamond" w:eastAsia="Garamond" w:hAnsi="Garamond" w:cs="Garamond"/>
          <w:sz w:val="26"/>
          <w:szCs w:val="26"/>
        </w:rPr>
      </w:pPr>
    </w:p>
    <w:p w14:paraId="5F7843C4" w14:textId="66331B7B" w:rsidR="0000714B" w:rsidRPr="009216D5" w:rsidRDefault="006633BC" w:rsidP="00254D23">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7" w:history="1">
        <w:r w:rsidR="001C4945" w:rsidRPr="009216D5">
          <w:rPr>
            <w:rFonts w:ascii="CeraGR-Regular" w:eastAsiaTheme="minorHAnsi" w:hAnsi="CeraGR-Regular" w:cs="CeraGR-Regular"/>
            <w:bCs w:val="0"/>
            <w:color w:val="1F354D"/>
            <w:sz w:val="24"/>
            <w:szCs w:val="24"/>
            <w:u w:val="single"/>
          </w:rPr>
          <w:t xml:space="preserve">THE </w:t>
        </w:r>
        <w:r w:rsidR="00FD6744">
          <w:rPr>
            <w:rFonts w:ascii="CeraGR-Regular" w:eastAsiaTheme="minorHAnsi" w:hAnsi="CeraGR-Regular" w:cs="CeraGR-Regular"/>
            <w:bCs w:val="0"/>
            <w:color w:val="1F354D"/>
            <w:sz w:val="24"/>
            <w:szCs w:val="24"/>
            <w:u w:val="single"/>
          </w:rPr>
          <w:t>MYgroup</w:t>
        </w:r>
        <w:r w:rsidR="001C4945" w:rsidRPr="009216D5">
          <w:rPr>
            <w:rFonts w:ascii="CeraGR-Regular" w:eastAsiaTheme="minorHAnsi" w:hAnsi="CeraGR-Regular" w:cs="CeraGR-Regular"/>
            <w:bCs w:val="0"/>
            <w:color w:val="1F354D"/>
            <w:sz w:val="24"/>
            <w:szCs w:val="24"/>
            <w:u w:val="single"/>
          </w:rPr>
          <w:t xml:space="preserve"> BILLING &amp; REIMBURSEMENT PROCESS</w:t>
        </w:r>
      </w:hyperlink>
    </w:p>
    <w:p w14:paraId="23CCA925"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Record Keeping &amp; HIPAA Compliance</w:t>
      </w:r>
    </w:p>
    <w:p w14:paraId="7D81BC57"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Billing Documentation</w:t>
      </w:r>
    </w:p>
    <w:p w14:paraId="752355E1"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The Authorization of Service</w:t>
      </w:r>
    </w:p>
    <w:p w14:paraId="67A297BD"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For Interim Billing</w:t>
      </w:r>
    </w:p>
    <w:p w14:paraId="63A4295D"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For Final Billing</w:t>
      </w:r>
    </w:p>
    <w:p w14:paraId="2BD3D0B8" w14:textId="77777777" w:rsidR="0000714B" w:rsidRPr="00F2180D" w:rsidRDefault="001C4945" w:rsidP="00084013">
      <w:pPr>
        <w:pStyle w:val="BodyText"/>
        <w:numPr>
          <w:ilvl w:val="1"/>
          <w:numId w:val="9"/>
        </w:numPr>
        <w:tabs>
          <w:tab w:val="left" w:pos="2281"/>
        </w:tabs>
        <w:spacing w:before="74" w:line="320" w:lineRule="exact"/>
        <w:ind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Inquiring Regarding Payment Rendered</w:t>
      </w:r>
    </w:p>
    <w:p w14:paraId="77FAE6F3" w14:textId="77777777" w:rsidR="0000714B" w:rsidRDefault="0000714B">
      <w:pPr>
        <w:spacing w:before="2"/>
        <w:rPr>
          <w:rFonts w:ascii="Garamond" w:eastAsia="Garamond" w:hAnsi="Garamond" w:cs="Garamond"/>
          <w:sz w:val="27"/>
          <w:szCs w:val="27"/>
        </w:rPr>
      </w:pPr>
    </w:p>
    <w:p w14:paraId="511D6A7F" w14:textId="2558006C" w:rsidR="004F31B1" w:rsidRDefault="006633BC" w:rsidP="004F31B1">
      <w:pPr>
        <w:pStyle w:val="Heading2"/>
        <w:numPr>
          <w:ilvl w:val="0"/>
          <w:numId w:val="9"/>
        </w:numPr>
        <w:tabs>
          <w:tab w:val="left" w:pos="1561"/>
        </w:tabs>
        <w:rPr>
          <w:rFonts w:ascii="CeraGR-Regular" w:eastAsiaTheme="minorHAnsi" w:hAnsi="CeraGR-Regular" w:cs="CeraGR-Regular"/>
          <w:bCs w:val="0"/>
          <w:color w:val="1F354D"/>
          <w:sz w:val="24"/>
          <w:szCs w:val="24"/>
          <w:u w:val="single"/>
        </w:rPr>
      </w:pPr>
      <w:hyperlink w:anchor="_bookmark8" w:history="1">
        <w:r w:rsidR="001C4945" w:rsidRPr="009216D5">
          <w:rPr>
            <w:rFonts w:ascii="CeraGR-Regular" w:eastAsiaTheme="minorHAnsi" w:hAnsi="CeraGR-Regular" w:cs="CeraGR-Regular"/>
            <w:bCs w:val="0"/>
            <w:color w:val="1F354D"/>
            <w:sz w:val="24"/>
            <w:szCs w:val="24"/>
            <w:u w:val="single"/>
          </w:rPr>
          <w:t>FREQUENTLY ASKED QUESTIONS</w:t>
        </w:r>
      </w:hyperlink>
    </w:p>
    <w:p w14:paraId="3C14EB54" w14:textId="0994C2EC" w:rsidR="004F31B1" w:rsidRDefault="004F31B1" w:rsidP="004F31B1">
      <w:pPr>
        <w:pStyle w:val="Heading2"/>
        <w:tabs>
          <w:tab w:val="left" w:pos="1561"/>
        </w:tabs>
        <w:rPr>
          <w:rFonts w:ascii="CeraGR-Regular" w:eastAsiaTheme="minorHAnsi" w:hAnsi="CeraGR-Regular" w:cs="CeraGR-Regular"/>
          <w:bCs w:val="0"/>
          <w:color w:val="1F354D"/>
          <w:sz w:val="24"/>
          <w:szCs w:val="24"/>
          <w:u w:val="single"/>
        </w:rPr>
      </w:pPr>
    </w:p>
    <w:p w14:paraId="2B067D33" w14:textId="48DB6E80" w:rsidR="004F31B1" w:rsidRDefault="004F31B1" w:rsidP="004F31B1">
      <w:pPr>
        <w:pStyle w:val="Heading2"/>
        <w:tabs>
          <w:tab w:val="left" w:pos="1561"/>
        </w:tabs>
        <w:rPr>
          <w:rFonts w:ascii="CeraGR-Regular" w:eastAsiaTheme="minorHAnsi" w:hAnsi="CeraGR-Regular" w:cs="CeraGR-Regular"/>
          <w:bCs w:val="0"/>
          <w:color w:val="1F354D"/>
          <w:sz w:val="24"/>
          <w:szCs w:val="24"/>
          <w:u w:val="single"/>
        </w:rPr>
      </w:pPr>
      <w:r>
        <w:rPr>
          <w:rFonts w:ascii="CeraGR-Regular" w:eastAsiaTheme="minorHAnsi" w:hAnsi="CeraGR-Regular" w:cs="CeraGR-Regular"/>
          <w:bCs w:val="0"/>
          <w:color w:val="1F354D"/>
          <w:sz w:val="24"/>
          <w:szCs w:val="24"/>
          <w:u w:val="single"/>
        </w:rPr>
        <w:t>SAMPLE AUTHORIZATION OF SERVICE</w:t>
      </w:r>
    </w:p>
    <w:p w14:paraId="252B02FD" w14:textId="7E1E5941" w:rsidR="004F31B1" w:rsidRDefault="004F31B1" w:rsidP="004F31B1">
      <w:pPr>
        <w:pStyle w:val="Heading2"/>
        <w:tabs>
          <w:tab w:val="left" w:pos="1561"/>
        </w:tabs>
        <w:rPr>
          <w:rFonts w:ascii="CeraGR-Regular" w:eastAsiaTheme="minorHAnsi" w:hAnsi="CeraGR-Regular" w:cs="CeraGR-Regular"/>
          <w:bCs w:val="0"/>
          <w:color w:val="1F354D"/>
          <w:sz w:val="24"/>
          <w:szCs w:val="24"/>
          <w:u w:val="single"/>
        </w:rPr>
      </w:pPr>
    </w:p>
    <w:p w14:paraId="215F487D" w14:textId="34255568" w:rsidR="0000714B" w:rsidRDefault="004F31B1" w:rsidP="004F31B1">
      <w:pPr>
        <w:pStyle w:val="Heading2"/>
        <w:tabs>
          <w:tab w:val="left" w:pos="1561"/>
        </w:tabs>
        <w:rPr>
          <w:rFonts w:cs="Garamond"/>
        </w:rPr>
        <w:sectPr w:rsidR="0000714B" w:rsidSect="009428C3">
          <w:pgSz w:w="12240" w:h="15840"/>
          <w:pgMar w:top="1300" w:right="1220" w:bottom="1200" w:left="1320" w:header="540" w:footer="374" w:gutter="0"/>
          <w:cols w:space="720"/>
          <w:docGrid w:linePitch="299"/>
        </w:sectPr>
      </w:pPr>
      <w:r>
        <w:rPr>
          <w:rFonts w:ascii="CeraGR-Regular" w:eastAsiaTheme="minorHAnsi" w:hAnsi="CeraGR-Regular" w:cs="CeraGR-Regular"/>
          <w:bCs w:val="0"/>
          <w:color w:val="1F354D"/>
          <w:sz w:val="24"/>
          <w:szCs w:val="24"/>
          <w:u w:val="single"/>
        </w:rPr>
        <w:t>SAMPLE REQUEST FOR ADDITIONAL SESSIONS</w:t>
      </w:r>
    </w:p>
    <w:p w14:paraId="08D16B27" w14:textId="77777777" w:rsidR="0000714B" w:rsidRPr="009216D5" w:rsidRDefault="001C4945" w:rsidP="008A44A5">
      <w:pPr>
        <w:numPr>
          <w:ilvl w:val="0"/>
          <w:numId w:val="8"/>
        </w:numPr>
        <w:tabs>
          <w:tab w:val="left" w:pos="990"/>
        </w:tabs>
        <w:spacing w:before="228"/>
        <w:jc w:val="left"/>
        <w:rPr>
          <w:rFonts w:ascii="CeraGR-Regular" w:hAnsi="CeraGR-Regular" w:cs="CeraGR-Regular"/>
          <w:b/>
          <w:color w:val="1F354D"/>
          <w:sz w:val="24"/>
          <w:szCs w:val="24"/>
        </w:rPr>
      </w:pPr>
      <w:bookmarkStart w:id="0" w:name="_bookmark0"/>
      <w:bookmarkEnd w:id="0"/>
      <w:r w:rsidRPr="009216D5">
        <w:rPr>
          <w:rFonts w:ascii="CeraGR-Regular" w:hAnsi="CeraGR-Regular" w:cs="CeraGR-Regular"/>
          <w:b/>
          <w:color w:val="1F354D"/>
          <w:sz w:val="24"/>
          <w:szCs w:val="24"/>
        </w:rPr>
        <w:lastRenderedPageBreak/>
        <w:t>SUPPORTING HEALTHY &amp; PRODUCTIVE EMPLOYEES</w:t>
      </w:r>
    </w:p>
    <w:p w14:paraId="65086A91" w14:textId="77777777" w:rsidR="0000714B" w:rsidRPr="009601B3" w:rsidRDefault="0000714B">
      <w:pPr>
        <w:spacing w:before="1"/>
        <w:rPr>
          <w:rFonts w:ascii="Garamond" w:eastAsia="Garamond" w:hAnsi="Garamond" w:cs="Garamond"/>
          <w:b/>
          <w:bCs/>
          <w:sz w:val="24"/>
          <w:szCs w:val="24"/>
        </w:rPr>
      </w:pPr>
    </w:p>
    <w:p w14:paraId="0EED2DBF" w14:textId="77777777" w:rsidR="0000714B" w:rsidRDefault="001C4945" w:rsidP="00614D5F">
      <w:pPr>
        <w:pStyle w:val="BasicParagraph"/>
        <w:suppressAutoHyphens/>
        <w:spacing w:line="360" w:lineRule="auto"/>
        <w:rPr>
          <w:rFonts w:ascii="CeraGR-Regular" w:hAnsi="CeraGR-Regular" w:cs="CeraGR-Regular"/>
          <w:color w:val="474746"/>
          <w:sz w:val="18"/>
          <w:szCs w:val="18"/>
        </w:rPr>
      </w:pPr>
      <w:r w:rsidRPr="00F2180D">
        <w:rPr>
          <w:rFonts w:ascii="CeraGR-Regular" w:hAnsi="CeraGR-Regular" w:cs="CeraGR-Regular"/>
          <w:color w:val="474746"/>
          <w:sz w:val="18"/>
          <w:szCs w:val="18"/>
        </w:rPr>
        <w:t>Employers know that there are times when life and work can be stressful. That’s why they have partnered with McLaughlin Young to provide an employee assistance program to their em</w:t>
      </w:r>
      <w:r w:rsidR="00254D23" w:rsidRPr="00F2180D">
        <w:rPr>
          <w:rFonts w:ascii="CeraGR-Regular" w:hAnsi="CeraGR-Regular" w:cs="CeraGR-Regular"/>
          <w:color w:val="474746"/>
          <w:sz w:val="18"/>
          <w:szCs w:val="18"/>
        </w:rPr>
        <w:t xml:space="preserve">ployees. An EAP is an </w:t>
      </w:r>
      <w:r w:rsidR="00254D23" w:rsidRPr="00F2180D">
        <w:rPr>
          <w:rFonts w:ascii="CeraGR-Regular" w:hAnsi="CeraGR-Regular" w:cs="CeraGR-Regular"/>
          <w:i/>
          <w:color w:val="474746"/>
          <w:sz w:val="18"/>
          <w:szCs w:val="18"/>
        </w:rPr>
        <w:t>employer-</w:t>
      </w:r>
      <w:r w:rsidRPr="00F2180D">
        <w:rPr>
          <w:rFonts w:ascii="CeraGR-Regular" w:hAnsi="CeraGR-Regular" w:cs="CeraGR-Regular"/>
          <w:i/>
          <w:color w:val="474746"/>
          <w:sz w:val="18"/>
          <w:szCs w:val="18"/>
        </w:rPr>
        <w:t>sponsored</w:t>
      </w:r>
      <w:r w:rsidRPr="00F2180D">
        <w:rPr>
          <w:rFonts w:ascii="CeraGR-Regular" w:hAnsi="CeraGR-Regular" w:cs="CeraGR-Regular"/>
          <w:color w:val="474746"/>
          <w:sz w:val="18"/>
          <w:szCs w:val="18"/>
        </w:rPr>
        <w:t>, specialized benefit that offers the support and resources needed to employees to address personal and work-related challenges and concerns.</w:t>
      </w:r>
    </w:p>
    <w:p w14:paraId="3C00AF89" w14:textId="77777777" w:rsidR="00614D5F" w:rsidRPr="00F2180D" w:rsidRDefault="00614D5F" w:rsidP="00614D5F">
      <w:pPr>
        <w:pStyle w:val="BasicParagraph"/>
        <w:suppressAutoHyphens/>
        <w:spacing w:line="360" w:lineRule="auto"/>
        <w:rPr>
          <w:rFonts w:ascii="CeraGR-Regular" w:hAnsi="CeraGR-Regular" w:cs="CeraGR-Regular"/>
          <w:color w:val="474746"/>
          <w:sz w:val="18"/>
          <w:szCs w:val="18"/>
        </w:rPr>
      </w:pPr>
    </w:p>
    <w:p w14:paraId="015AE8A0" w14:textId="4842A996" w:rsidR="0000714B" w:rsidRPr="00F2180D" w:rsidRDefault="001C4945" w:rsidP="00470D5E">
      <w:pPr>
        <w:pStyle w:val="BasicParagraph"/>
        <w:suppressAutoHyphens/>
        <w:spacing w:line="360" w:lineRule="auto"/>
        <w:rPr>
          <w:rFonts w:ascii="CeraGR-Regular" w:hAnsi="CeraGR-Regular" w:cs="CeraGR-Regular"/>
          <w:color w:val="474746"/>
          <w:sz w:val="18"/>
          <w:szCs w:val="18"/>
        </w:rPr>
      </w:pPr>
      <w:r w:rsidRPr="00F2180D">
        <w:rPr>
          <w:rFonts w:ascii="CeraGR-Regular" w:hAnsi="CeraGR-Regular" w:cs="CeraGR-Regular"/>
          <w:color w:val="474746"/>
          <w:sz w:val="18"/>
          <w:szCs w:val="18"/>
        </w:rPr>
        <w:t xml:space="preserve">The EAP assists with workplace issues including absenteeism, presenteeism, policy violations, management consultation, </w:t>
      </w:r>
      <w:r w:rsidR="005C62C9">
        <w:rPr>
          <w:rFonts w:ascii="CeraGR-Regular" w:hAnsi="CeraGR-Regular" w:cs="CeraGR-Regular"/>
          <w:color w:val="474746"/>
          <w:sz w:val="18"/>
          <w:szCs w:val="18"/>
        </w:rPr>
        <w:t xml:space="preserve">formal </w:t>
      </w:r>
      <w:r w:rsidRPr="00F2180D">
        <w:rPr>
          <w:rFonts w:ascii="CeraGR-Regular" w:hAnsi="CeraGR-Regular" w:cs="CeraGR-Regular"/>
          <w:color w:val="474746"/>
          <w:sz w:val="18"/>
          <w:szCs w:val="18"/>
        </w:rPr>
        <w:t xml:space="preserve">supervisor referrals, and termination. </w:t>
      </w:r>
      <w:r w:rsidRPr="00F2180D">
        <w:rPr>
          <w:rFonts w:ascii="CeraGR-Regular" w:hAnsi="CeraGR-Regular" w:cs="CeraGR-Regular"/>
          <w:b/>
          <w:color w:val="474746"/>
          <w:sz w:val="18"/>
          <w:szCs w:val="18"/>
        </w:rPr>
        <w:t>The overall goal for EAP support is to alleviate employees’ distress that may be negatively impacting their ability to perform at work by assessing, referring, and providing brief solution-focused treatment.</w:t>
      </w:r>
      <w:r w:rsidRPr="00F2180D">
        <w:rPr>
          <w:rFonts w:ascii="CeraGR-Regular" w:hAnsi="CeraGR-Regular" w:cs="CeraGR-Regular"/>
          <w:color w:val="474746"/>
          <w:sz w:val="18"/>
          <w:szCs w:val="18"/>
        </w:rPr>
        <w:t xml:space="preserve"> Some reasons that may be addressed include:</w:t>
      </w:r>
    </w:p>
    <w:p w14:paraId="2D3798DB" w14:textId="77777777" w:rsidR="00D60E09" w:rsidRPr="00F2180D" w:rsidRDefault="001C4945" w:rsidP="00D60E09">
      <w:pPr>
        <w:pStyle w:val="BodyText"/>
        <w:numPr>
          <w:ilvl w:val="1"/>
          <w:numId w:val="8"/>
        </w:numPr>
        <w:tabs>
          <w:tab w:val="left" w:pos="1561"/>
        </w:tabs>
        <w:spacing w:before="49"/>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Relational &amp; Family Concerns</w:t>
      </w:r>
    </w:p>
    <w:p w14:paraId="48EFCDB5" w14:textId="77777777" w:rsidR="0000714B" w:rsidRPr="00F2180D" w:rsidRDefault="001C4945">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Emotional Health</w:t>
      </w:r>
    </w:p>
    <w:p w14:paraId="32B3672B" w14:textId="77777777" w:rsidR="0000714B" w:rsidRPr="00F2180D" w:rsidRDefault="001C4945">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Work Issues &amp; Related Concerns</w:t>
      </w:r>
    </w:p>
    <w:p w14:paraId="66CB19D3"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Legal &amp; Financial</w:t>
      </w:r>
    </w:p>
    <w:p w14:paraId="18AAA698"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Grief &amp; Trauma</w:t>
      </w:r>
    </w:p>
    <w:p w14:paraId="65C5E11E"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Physical Health</w:t>
      </w:r>
    </w:p>
    <w:p w14:paraId="735A3C2C"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Transitions </w:t>
      </w:r>
    </w:p>
    <w:p w14:paraId="67C362FC"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Conflict</w:t>
      </w:r>
    </w:p>
    <w:p w14:paraId="4DB95941"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Stress</w:t>
      </w:r>
    </w:p>
    <w:p w14:paraId="5AA1E82E"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Death &amp; Suicide</w:t>
      </w:r>
    </w:p>
    <w:p w14:paraId="10551730" w14:textId="77777777" w:rsidR="00D60E09" w:rsidRPr="00F2180D" w:rsidRDefault="00D60E09" w:rsidP="00023CCB">
      <w:pPr>
        <w:pStyle w:val="BodyText"/>
        <w:numPr>
          <w:ilvl w:val="1"/>
          <w:numId w:val="8"/>
        </w:numPr>
        <w:tabs>
          <w:tab w:val="left" w:pos="1561"/>
        </w:tabs>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Alcohol/Substance Use/Abuse</w:t>
      </w:r>
    </w:p>
    <w:p w14:paraId="33AF9E4F" w14:textId="77777777" w:rsidR="0000714B" w:rsidRPr="00F2180D" w:rsidRDefault="0000714B">
      <w:pPr>
        <w:spacing w:before="7"/>
        <w:rPr>
          <w:rFonts w:ascii="Garamond" w:eastAsia="Garamond" w:hAnsi="Garamond" w:cs="Garamond"/>
          <w:sz w:val="18"/>
          <w:szCs w:val="18"/>
        </w:rPr>
      </w:pPr>
    </w:p>
    <w:p w14:paraId="7359115E" w14:textId="4871A099" w:rsidR="0000714B" w:rsidRPr="00F2180D" w:rsidRDefault="001C4945" w:rsidP="0069143C">
      <w:pPr>
        <w:pStyle w:val="BodyText"/>
        <w:spacing w:before="74" w:line="360" w:lineRule="auto"/>
        <w:ind w:left="0" w:right="476"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How our EAP Works</w:t>
      </w:r>
      <w:r w:rsidRPr="00F2180D">
        <w:rPr>
          <w:rFonts w:ascii="Centrale Sans Regular" w:eastAsiaTheme="minorEastAsia" w:hAnsi="Centrale Sans Regular"/>
          <w:b/>
          <w:color w:val="01426A"/>
          <w:sz w:val="18"/>
          <w:szCs w:val="18"/>
        </w:rPr>
        <w:t>.</w:t>
      </w:r>
      <w:r w:rsidRPr="00F2180D">
        <w:rPr>
          <w:rFonts w:cs="Garamond"/>
          <w:b/>
          <w:bCs/>
          <w:spacing w:val="68"/>
          <w:sz w:val="18"/>
          <w:szCs w:val="18"/>
        </w:rPr>
        <w:t xml:space="preserve"> </w:t>
      </w:r>
      <w:r w:rsidRPr="00F2180D">
        <w:rPr>
          <w:rFonts w:ascii="CeraGR-Regular" w:eastAsiaTheme="minorHAnsi" w:hAnsi="CeraGR-Regular" w:cs="CeraGR-Regular"/>
          <w:color w:val="474746"/>
          <w:sz w:val="18"/>
          <w:szCs w:val="18"/>
        </w:rPr>
        <w:t>McLaughlin Young provides assessment, referral, and/or brief-therapy intervention, based on the employee’s service model. When an employee calls in, the employee is briefed on their EAP benefits. In addition, a risk and needs assessment is conducted by an experienced, licensed clinician to determine the level of care needed. If it is determined that the concern can be addressed through a face-to-face assessment and brief-therapy intervention,</w:t>
      </w:r>
      <w:r w:rsidR="0097343C">
        <w:rPr>
          <w:rFonts w:ascii="CeraGR-Regular" w:eastAsiaTheme="minorHAnsi" w:hAnsi="CeraGR-Regular" w:cs="CeraGR-Regular"/>
          <w:color w:val="474746"/>
          <w:sz w:val="18"/>
          <w:szCs w:val="18"/>
        </w:rPr>
        <w:t xml:space="preserve"> the</w:t>
      </w:r>
      <w:r w:rsidRPr="00F2180D">
        <w:rPr>
          <w:rFonts w:ascii="CeraGR-Regular" w:eastAsiaTheme="minorHAnsi" w:hAnsi="CeraGR-Regular" w:cs="CeraGR-Regular"/>
          <w:color w:val="474746"/>
          <w:sz w:val="18"/>
          <w:szCs w:val="18"/>
        </w:rPr>
        <w:t xml:space="preserv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will refer the client to an affiliate provider for additional assistance. If it is determined that a referral is needed for ongoing support, the affiliate provider will connect them with the most appropriate resources for care. If the client is requesting additional EAP resources</w:t>
      </w:r>
      <w:r w:rsidR="00F4224C">
        <w:rPr>
          <w:rFonts w:ascii="CeraGR-Regular" w:eastAsiaTheme="minorHAnsi" w:hAnsi="CeraGR-Regular" w:cs="CeraGR-Regular"/>
          <w:color w:val="474746"/>
          <w:sz w:val="18"/>
          <w:szCs w:val="18"/>
        </w:rPr>
        <w:t xml:space="preserve"> (e.g., legal referrals)</w:t>
      </w:r>
      <w:r w:rsidRPr="00F2180D">
        <w:rPr>
          <w:rFonts w:ascii="CeraGR-Regular" w:eastAsiaTheme="minorHAnsi" w:hAnsi="CeraGR-Regular" w:cs="CeraGR-Regular"/>
          <w:color w:val="474746"/>
          <w:sz w:val="18"/>
          <w:szCs w:val="18"/>
        </w:rPr>
        <w:t>, the affiliate provider will refer them back to the EAP for additional assistance.</w:t>
      </w:r>
    </w:p>
    <w:p w14:paraId="3AFC26BB" w14:textId="77777777" w:rsidR="0000714B" w:rsidRPr="00F2180D" w:rsidRDefault="0000714B" w:rsidP="0069143C">
      <w:pPr>
        <w:spacing w:before="1"/>
        <w:rPr>
          <w:rFonts w:ascii="Garamond" w:eastAsia="Garamond" w:hAnsi="Garamond" w:cs="Garamond"/>
          <w:sz w:val="18"/>
          <w:szCs w:val="18"/>
        </w:rPr>
      </w:pPr>
    </w:p>
    <w:p w14:paraId="766696D7" w14:textId="77777777" w:rsidR="0069143C" w:rsidRDefault="001C4945" w:rsidP="00614D5F">
      <w:pPr>
        <w:pStyle w:val="BodyText"/>
        <w:spacing w:line="360" w:lineRule="auto"/>
        <w:ind w:left="0" w:right="475"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EAP Design.</w:t>
      </w:r>
      <w:r w:rsidRPr="00F2180D">
        <w:rPr>
          <w:b/>
          <w:spacing w:val="69"/>
          <w:sz w:val="18"/>
          <w:szCs w:val="18"/>
        </w:rPr>
        <w:t xml:space="preserve"> </w:t>
      </w:r>
      <w:r w:rsidRPr="00F2180D">
        <w:rPr>
          <w:rFonts w:ascii="CeraGR-Regular" w:eastAsiaTheme="minorHAnsi" w:hAnsi="CeraGR-Regular" w:cs="CeraGR-Regular"/>
          <w:color w:val="474746"/>
          <w:sz w:val="18"/>
          <w:szCs w:val="18"/>
        </w:rPr>
        <w:t xml:space="preserve">The employee assistance program (EAP) is designed to assist in the identification and resolution of productivity problems associated with employees impaired by personal concerns. Alcohol, drug abuse, emotional, marital and family issues, work related issues and many other concerns </w:t>
      </w:r>
      <w:r w:rsidR="00D60E09" w:rsidRPr="00F2180D">
        <w:rPr>
          <w:rFonts w:ascii="CeraGR-Regular" w:eastAsiaTheme="minorHAnsi" w:hAnsi="CeraGR-Regular" w:cs="CeraGR-Regular"/>
          <w:color w:val="474746"/>
          <w:sz w:val="18"/>
          <w:szCs w:val="18"/>
        </w:rPr>
        <w:t>affect job performance, employee health and quality of life. The EAP provides crisis intervention, assessment and referral, short-term problem resolution, monitoring and fol</w:t>
      </w:r>
      <w:r w:rsidR="00F2180D">
        <w:rPr>
          <w:rFonts w:ascii="CeraGR-Regular" w:eastAsiaTheme="minorHAnsi" w:hAnsi="CeraGR-Regular" w:cs="CeraGR-Regular"/>
          <w:color w:val="474746"/>
          <w:sz w:val="18"/>
          <w:szCs w:val="18"/>
        </w:rPr>
        <w:t>low up, and access to resources.</w:t>
      </w:r>
    </w:p>
    <w:p w14:paraId="58B5BE2D" w14:textId="77777777" w:rsidR="00614D5F" w:rsidRPr="00614D5F" w:rsidRDefault="00614D5F" w:rsidP="00614D5F">
      <w:pPr>
        <w:pStyle w:val="BodyText"/>
        <w:spacing w:line="360" w:lineRule="auto"/>
        <w:ind w:left="0" w:right="475" w:firstLine="0"/>
        <w:rPr>
          <w:rFonts w:ascii="CeraGR-Regular" w:eastAsiaTheme="minorHAnsi" w:hAnsi="CeraGR-Regular" w:cs="CeraGR-Regular"/>
          <w:color w:val="474746"/>
          <w:sz w:val="18"/>
          <w:szCs w:val="18"/>
        </w:rPr>
      </w:pPr>
    </w:p>
    <w:p w14:paraId="4F4D98CB" w14:textId="428520E4" w:rsidR="0069143C" w:rsidRPr="00F2180D" w:rsidRDefault="0069143C" w:rsidP="003D6B96">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Our EAP Process.</w:t>
      </w:r>
      <w:r w:rsidRPr="00F2180D">
        <w:rPr>
          <w:b/>
          <w:spacing w:val="-1"/>
          <w:sz w:val="18"/>
          <w:szCs w:val="18"/>
        </w:rPr>
        <w:t xml:space="preserve"> </w:t>
      </w:r>
      <w:r w:rsidRPr="00F2180D">
        <w:rPr>
          <w:rFonts w:ascii="CeraGR-Regular" w:eastAsiaTheme="minorHAnsi" w:hAnsi="CeraGR-Regular" w:cs="CeraGR-Regular"/>
          <w:color w:val="474746"/>
          <w:sz w:val="18"/>
          <w:szCs w:val="18"/>
        </w:rPr>
        <w:t>As a provider for McLaughlin Young, it is important to know the process o</w:t>
      </w:r>
      <w:r w:rsidR="00337BEE">
        <w:rPr>
          <w:rFonts w:ascii="CeraGR-Regular" w:eastAsiaTheme="minorHAnsi" w:hAnsi="CeraGR-Regular" w:cs="CeraGR-Regular"/>
          <w:color w:val="474746"/>
          <w:sz w:val="18"/>
          <w:szCs w:val="18"/>
        </w:rPr>
        <w:t xml:space="preserve">f EAP and understand </w:t>
      </w:r>
      <w:r w:rsidRPr="00F2180D">
        <w:rPr>
          <w:rFonts w:ascii="CeraGR-Regular" w:eastAsiaTheme="minorHAnsi" w:hAnsi="CeraGR-Regular" w:cs="CeraGR-Regular"/>
          <w:color w:val="474746"/>
          <w:sz w:val="18"/>
          <w:szCs w:val="18"/>
        </w:rPr>
        <w:t xml:space="preserve">how to deliver service within the EAP parameters. It is vital that the provider as well as the </w:t>
      </w:r>
      <w:r w:rsidRPr="00F2180D">
        <w:rPr>
          <w:rFonts w:ascii="CeraGR-Regular" w:eastAsiaTheme="minorHAnsi" w:hAnsi="CeraGR-Regular" w:cs="CeraGR-Regular"/>
          <w:color w:val="474746"/>
          <w:sz w:val="18"/>
          <w:szCs w:val="18"/>
        </w:rPr>
        <w:lastRenderedPageBreak/>
        <w:t xml:space="preserve">employee understand the process. Part of the assessment must include an explanation of the parameters of EAP. This is also covered in the Explanation of </w:t>
      </w:r>
      <w:r w:rsidR="00F4224C">
        <w:rPr>
          <w:rFonts w:ascii="CeraGR-Regular" w:eastAsiaTheme="minorHAnsi" w:hAnsi="CeraGR-Regular" w:cs="CeraGR-Regular"/>
          <w:color w:val="474746"/>
          <w:sz w:val="18"/>
          <w:szCs w:val="18"/>
        </w:rPr>
        <w:t>EAP Services</w:t>
      </w:r>
      <w:r w:rsidRPr="00F2180D">
        <w:rPr>
          <w:rFonts w:ascii="CeraGR-Regular" w:eastAsiaTheme="minorHAnsi" w:hAnsi="CeraGR-Regular" w:cs="CeraGR-Regular"/>
          <w:color w:val="474746"/>
          <w:sz w:val="18"/>
          <w:szCs w:val="18"/>
        </w:rPr>
        <w:t xml:space="preserve"> consent to treat form, which must be signed by the client before services can begin (i.e., signed during initial session).</w:t>
      </w:r>
    </w:p>
    <w:p w14:paraId="1A1E1131" w14:textId="77777777" w:rsidR="0000714B" w:rsidRPr="00F2180D" w:rsidRDefault="0000714B" w:rsidP="003D6B96">
      <w:pPr>
        <w:spacing w:before="10" w:line="360" w:lineRule="auto"/>
        <w:rPr>
          <w:rFonts w:ascii="CeraGR-Regular" w:hAnsi="CeraGR-Regular" w:cs="CeraGR-Regular"/>
          <w:color w:val="474746"/>
          <w:sz w:val="18"/>
          <w:szCs w:val="18"/>
        </w:rPr>
      </w:pPr>
    </w:p>
    <w:p w14:paraId="0E864013" w14:textId="4CCCB991" w:rsidR="0000714B" w:rsidRPr="00B43191" w:rsidRDefault="001C4945" w:rsidP="00CB4A9D">
      <w:pPr>
        <w:pStyle w:val="BodyText"/>
        <w:spacing w:line="360" w:lineRule="auto"/>
        <w:ind w:left="0" w:right="173" w:firstLine="0"/>
        <w:rPr>
          <w:rFonts w:ascii="CeraGR-Regular" w:eastAsiaTheme="minorHAnsi" w:hAnsi="CeraGR-Regular" w:cs="CeraGR-Regular"/>
          <w:color w:val="474746"/>
          <w:sz w:val="18"/>
          <w:szCs w:val="18"/>
          <w:u w:val="single"/>
        </w:rPr>
      </w:pPr>
      <w:r w:rsidRPr="00F2180D">
        <w:rPr>
          <w:rFonts w:ascii="CeraGR-Regular" w:eastAsiaTheme="minorHAnsi" w:hAnsi="CeraGR-Regular" w:cs="CeraGR-Regular"/>
          <w:color w:val="474746"/>
          <w:sz w:val="18"/>
          <w:szCs w:val="18"/>
        </w:rPr>
        <w:t xml:space="preserve">The short-term model is meant to offer an employee a brief assessment intervention followed by referrals, if necessary. EAP is not a therapy model per se. The focus is on problem resolution with linkage into on-going, long-term therapy as an option. An EAP provider can typically complete an assessment within one to two sessions. The provider determines if short-term therapy is appropriate. If it is deemed suitable, collaboration with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is required to release the remaining available EAP sessions. If referrals are the most appropriate treatment option for the client’s presenting problem, the EAP provider </w:t>
      </w:r>
      <w:r w:rsidRPr="00B43191">
        <w:rPr>
          <w:rFonts w:ascii="CeraGR-Regular" w:eastAsiaTheme="minorHAnsi" w:hAnsi="CeraGR-Regular" w:cs="CeraGR-Regular"/>
          <w:color w:val="474746"/>
          <w:sz w:val="18"/>
          <w:szCs w:val="18"/>
          <w:u w:val="single"/>
        </w:rPr>
        <w:t>makes the referral at the completion of the assessment, not at the end of brief therapy.</w:t>
      </w:r>
    </w:p>
    <w:p w14:paraId="4F54C004" w14:textId="77777777" w:rsidR="0000714B" w:rsidRPr="00F2180D" w:rsidRDefault="0000714B">
      <w:pPr>
        <w:spacing w:before="1"/>
        <w:rPr>
          <w:rFonts w:ascii="Garamond" w:eastAsia="Garamond" w:hAnsi="Garamond" w:cs="Garamond"/>
          <w:sz w:val="18"/>
          <w:szCs w:val="18"/>
        </w:rPr>
      </w:pPr>
    </w:p>
    <w:p w14:paraId="01572C41" w14:textId="671AF4CE" w:rsidR="0000714B" w:rsidRPr="00F2180D" w:rsidRDefault="001C4945" w:rsidP="00CB4A9D">
      <w:pPr>
        <w:pStyle w:val="BodyText"/>
        <w:spacing w:line="360" w:lineRule="auto"/>
        <w:ind w:left="0" w:right="161"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Dual Client Relationships.</w:t>
      </w:r>
      <w:r w:rsidR="006E0E78">
        <w:rPr>
          <w:b/>
          <w:spacing w:val="70"/>
          <w:sz w:val="18"/>
          <w:szCs w:val="18"/>
        </w:rPr>
        <w:t xml:space="preserve"> </w:t>
      </w:r>
      <w:r w:rsidR="006E0E78">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rovider</w:t>
      </w:r>
      <w:r w:rsidR="006E0E78">
        <w:rPr>
          <w:rFonts w:ascii="CeraGR-Regular" w:eastAsiaTheme="minorHAnsi" w:hAnsi="CeraGR-Regular" w:cs="CeraGR-Regular"/>
          <w:color w:val="474746"/>
          <w:sz w:val="18"/>
          <w:szCs w:val="18"/>
        </w:rPr>
        <w:t>s</w:t>
      </w:r>
      <w:r w:rsidRPr="00F2180D">
        <w:rPr>
          <w:rFonts w:ascii="CeraGR-Regular" w:eastAsiaTheme="minorHAnsi" w:hAnsi="CeraGR-Regular" w:cs="CeraGR-Regular"/>
          <w:color w:val="474746"/>
          <w:sz w:val="18"/>
          <w:szCs w:val="18"/>
        </w:rPr>
        <w:t xml:space="preserve"> benefit both the employer and employee by assisting the client return to optimal </w:t>
      </w:r>
      <w:r w:rsidR="00337BEE">
        <w:rPr>
          <w:rFonts w:ascii="CeraGR-Regular" w:eastAsiaTheme="minorHAnsi" w:hAnsi="CeraGR-Regular" w:cs="CeraGR-Regular"/>
          <w:color w:val="474746"/>
          <w:sz w:val="18"/>
          <w:szCs w:val="18"/>
        </w:rPr>
        <w:t>performance at work. In essence,</w:t>
      </w:r>
      <w:r w:rsidRPr="00F2180D">
        <w:rPr>
          <w:rFonts w:ascii="CeraGR-Regular" w:eastAsiaTheme="minorHAnsi" w:hAnsi="CeraGR-Regular" w:cs="CeraGR-Regular"/>
          <w:color w:val="474746"/>
          <w:sz w:val="18"/>
          <w:szCs w:val="18"/>
        </w:rPr>
        <w:t xml:space="preserve"> </w:t>
      </w:r>
      <w:r w:rsidR="006E0E78">
        <w:rPr>
          <w:rFonts w:ascii="CeraGR-Regular" w:eastAsiaTheme="minorHAnsi" w:hAnsi="CeraGR-Regular" w:cs="CeraGR-Regular"/>
          <w:color w:val="474746"/>
          <w:sz w:val="18"/>
          <w:szCs w:val="18"/>
        </w:rPr>
        <w:t>providers</w:t>
      </w:r>
      <w:r w:rsidRPr="00F2180D">
        <w:rPr>
          <w:rFonts w:ascii="CeraGR-Regular" w:eastAsiaTheme="minorHAnsi" w:hAnsi="CeraGR-Regular" w:cs="CeraGR-Regular"/>
          <w:color w:val="474746"/>
          <w:sz w:val="18"/>
          <w:szCs w:val="18"/>
        </w:rPr>
        <w:t xml:space="preserve"> work as a clinician for the employee with the ultimate intention of also assisting the workplace. This is accomplished by utilizing a solution-focused approach for problem identification and resolution.</w:t>
      </w:r>
    </w:p>
    <w:p w14:paraId="08496214" w14:textId="77777777" w:rsidR="0000714B" w:rsidRPr="00F2180D" w:rsidRDefault="0000714B" w:rsidP="00CB4A9D">
      <w:pPr>
        <w:spacing w:before="10"/>
        <w:rPr>
          <w:rFonts w:ascii="Garamond" w:eastAsia="Garamond" w:hAnsi="Garamond" w:cs="Garamond"/>
          <w:sz w:val="18"/>
          <w:szCs w:val="18"/>
        </w:rPr>
      </w:pPr>
    </w:p>
    <w:p w14:paraId="0244500B" w14:textId="24153C30" w:rsidR="0000714B" w:rsidRPr="00F2180D" w:rsidRDefault="001C4945" w:rsidP="00CB4A9D">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EAP Ethics &amp; EAPA Standards.</w:t>
      </w:r>
      <w:r w:rsidRPr="00F2180D">
        <w:rPr>
          <w:sz w:val="18"/>
          <w:szCs w:val="18"/>
        </w:rPr>
        <w:t xml:space="preserve"> </w:t>
      </w:r>
      <w:r w:rsidRPr="00F2180D">
        <w:rPr>
          <w:rFonts w:ascii="CeraGR-Regular" w:eastAsiaTheme="minorHAnsi" w:hAnsi="CeraGR-Regular" w:cs="CeraGR-Regular"/>
          <w:color w:val="474746"/>
          <w:sz w:val="18"/>
          <w:szCs w:val="18"/>
        </w:rPr>
        <w:t>Please click on the following link to review the EAP Ethics and Standards that as a provider, you must adhere to: EAPA Standards and Professional Guidelines for Employee A</w:t>
      </w:r>
      <w:r w:rsidR="00170CAE" w:rsidRPr="00F2180D">
        <w:rPr>
          <w:rFonts w:ascii="CeraGR-Regular" w:eastAsiaTheme="minorHAnsi" w:hAnsi="CeraGR-Regular" w:cs="CeraGR-Regular"/>
          <w:color w:val="474746"/>
          <w:sz w:val="18"/>
          <w:szCs w:val="18"/>
        </w:rPr>
        <w:t xml:space="preserve">ssistance Programs, located at: </w:t>
      </w:r>
      <w:hyperlink r:id="rId13" w:history="1">
        <w:r w:rsidR="000F3D03" w:rsidRPr="000F3D03">
          <w:rPr>
            <w:rFonts w:asciiTheme="minorHAnsi" w:eastAsiaTheme="minorHAnsi" w:hAnsiTheme="minorHAnsi"/>
            <w:color w:val="0000FF"/>
            <w:sz w:val="22"/>
            <w:szCs w:val="22"/>
            <w:u w:val="single"/>
          </w:rPr>
          <w:t>http://www.eapassn.org/Portals/11/Docs/EAPAStandards10.pdf</w:t>
        </w:r>
      </w:hyperlink>
      <w:r w:rsidR="00170CAE" w:rsidRPr="00F2180D">
        <w:rPr>
          <w:rFonts w:ascii="CeraGR-Regular" w:eastAsiaTheme="minorHAnsi" w:hAnsi="CeraGR-Regular" w:cs="CeraGR-Regular"/>
          <w:color w:val="2E8989"/>
          <w:sz w:val="18"/>
          <w:szCs w:val="18"/>
          <w:u w:val="single"/>
        </w:rPr>
        <w:t xml:space="preserve"> </w:t>
      </w:r>
      <w:r w:rsidRPr="00F2180D">
        <w:rPr>
          <w:rFonts w:ascii="CeraGR-Regular" w:eastAsiaTheme="minorHAnsi" w:hAnsi="CeraGR-Regular" w:cs="CeraGR-Regular"/>
          <w:color w:val="474746"/>
          <w:sz w:val="18"/>
          <w:szCs w:val="18"/>
        </w:rPr>
        <w:t xml:space="preserve">If the link does not work, please visit </w:t>
      </w:r>
      <w:hyperlink r:id="rId14" w:history="1">
        <w:r w:rsidR="000F3D03">
          <w:rPr>
            <w:rStyle w:val="Hyperlink"/>
            <w:rFonts w:ascii="CeraGR-Regular" w:eastAsiaTheme="minorHAnsi" w:hAnsi="CeraGR-Regular" w:cs="CeraGR-Regular"/>
            <w:color w:val="474746"/>
            <w:sz w:val="18"/>
            <w:szCs w:val="18"/>
          </w:rPr>
          <w:t>http://www.eapassn.org/</w:t>
        </w:r>
      </w:hyperlink>
      <w:r w:rsidR="000F3D03">
        <w:rPr>
          <w:rStyle w:val="Hyperlink"/>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to locate the document.</w:t>
      </w:r>
    </w:p>
    <w:p w14:paraId="11BF6C82" w14:textId="77777777" w:rsidR="0000714B" w:rsidRPr="00073196" w:rsidRDefault="0000714B" w:rsidP="00CB4A9D">
      <w:pPr>
        <w:spacing w:before="10"/>
        <w:rPr>
          <w:rFonts w:ascii="Garamond" w:eastAsia="Garamond" w:hAnsi="Garamond" w:cs="Garamond"/>
          <w:color w:val="474746"/>
          <w:sz w:val="27"/>
          <w:szCs w:val="27"/>
        </w:rPr>
      </w:pPr>
    </w:p>
    <w:p w14:paraId="77B28364" w14:textId="77777777" w:rsidR="0000714B" w:rsidRPr="009216D5" w:rsidRDefault="001C4945" w:rsidP="002C1371">
      <w:pPr>
        <w:pStyle w:val="Heading2"/>
        <w:numPr>
          <w:ilvl w:val="0"/>
          <w:numId w:val="8"/>
        </w:numPr>
        <w:tabs>
          <w:tab w:val="left" w:pos="1440"/>
        </w:tabs>
        <w:jc w:val="left"/>
        <w:rPr>
          <w:rFonts w:ascii="CeraGR-Regular" w:eastAsiaTheme="minorHAnsi" w:hAnsi="CeraGR-Regular" w:cs="CeraGR-Regular"/>
          <w:bCs w:val="0"/>
          <w:color w:val="1F354D"/>
          <w:sz w:val="24"/>
          <w:szCs w:val="24"/>
        </w:rPr>
      </w:pPr>
      <w:bookmarkStart w:id="1" w:name="_bookmark1"/>
      <w:bookmarkEnd w:id="1"/>
      <w:r w:rsidRPr="009216D5">
        <w:rPr>
          <w:rFonts w:ascii="CeraGR-Regular" w:eastAsiaTheme="minorHAnsi" w:hAnsi="CeraGR-Regular" w:cs="CeraGR-Regular"/>
          <w:bCs w:val="0"/>
          <w:color w:val="1F354D"/>
          <w:sz w:val="24"/>
          <w:szCs w:val="24"/>
        </w:rPr>
        <w:t>PROVIDER ON-BOARDING &amp; CREDENTIALING</w:t>
      </w:r>
    </w:p>
    <w:p w14:paraId="16678975" w14:textId="77777777" w:rsidR="0000714B" w:rsidRPr="009601B3" w:rsidRDefault="0000714B" w:rsidP="009601B3">
      <w:pPr>
        <w:rPr>
          <w:rFonts w:ascii="Garamond" w:eastAsia="Garamond" w:hAnsi="Garamond" w:cs="Garamond"/>
          <w:b/>
          <w:bCs/>
          <w:sz w:val="24"/>
          <w:szCs w:val="24"/>
        </w:rPr>
      </w:pPr>
    </w:p>
    <w:p w14:paraId="1D10FB96" w14:textId="77777777" w:rsidR="0000714B" w:rsidRPr="00F2180D" w:rsidRDefault="001C4945" w:rsidP="00CB4A9D">
      <w:pPr>
        <w:pStyle w:val="BodyText"/>
        <w:spacing w:line="360" w:lineRule="auto"/>
        <w:ind w:left="0" w:right="176" w:firstLine="0"/>
        <w:rPr>
          <w:rFonts w:ascii="CeraGR-Regular" w:eastAsiaTheme="minorHAnsi" w:hAnsi="CeraGR-Regular" w:cs="CeraGR-Regular"/>
          <w:color w:val="6D6E71"/>
          <w:sz w:val="18"/>
          <w:szCs w:val="18"/>
        </w:rPr>
      </w:pPr>
      <w:r w:rsidRPr="00F2180D">
        <w:rPr>
          <w:rFonts w:ascii="CeraGR-Regular" w:eastAsiaTheme="minorHAnsi" w:hAnsi="CeraGR-Regular" w:cs="CeraGR-Regular"/>
          <w:color w:val="474746"/>
          <w:sz w:val="18"/>
          <w:szCs w:val="18"/>
        </w:rPr>
        <w:t>To ensure our clients receive the services agreed upon, McLaughlin Young requires providers to adhere to specific EAP services with regards to</w:t>
      </w:r>
      <w:r w:rsidR="00D60E09" w:rsidRPr="00F2180D">
        <w:rPr>
          <w:rFonts w:ascii="CeraGR-Regular" w:eastAsiaTheme="minorHAnsi" w:hAnsi="CeraGR-Regular" w:cs="CeraGR-Regular"/>
          <w:color w:val="474746"/>
          <w:sz w:val="18"/>
          <w:szCs w:val="18"/>
        </w:rPr>
        <w:t xml:space="preserve"> assessment, short-term counseling, and referrals, as outlined within this provider handbook</w:t>
      </w:r>
      <w:r w:rsidR="00D60E09" w:rsidRPr="00F2180D">
        <w:rPr>
          <w:rFonts w:ascii="CeraGR-Regular" w:eastAsiaTheme="minorHAnsi" w:hAnsi="CeraGR-Regular" w:cs="CeraGR-Regular"/>
          <w:color w:val="6D6E71"/>
          <w:sz w:val="18"/>
          <w:szCs w:val="18"/>
        </w:rPr>
        <w:t>.</w:t>
      </w:r>
    </w:p>
    <w:p w14:paraId="2F90782B" w14:textId="77777777" w:rsidR="0000714B" w:rsidRPr="00F2180D" w:rsidRDefault="0000714B" w:rsidP="00CB4A9D">
      <w:pPr>
        <w:spacing w:before="1"/>
        <w:rPr>
          <w:rFonts w:ascii="Garamond" w:eastAsia="Garamond" w:hAnsi="Garamond" w:cs="Garamond"/>
          <w:sz w:val="18"/>
          <w:szCs w:val="18"/>
        </w:rPr>
      </w:pPr>
    </w:p>
    <w:p w14:paraId="545ED8D2" w14:textId="5BB8A02C" w:rsidR="009E079B" w:rsidRPr="0069143C" w:rsidRDefault="001C4945" w:rsidP="00CB4A9D">
      <w:pPr>
        <w:pStyle w:val="BodyText"/>
        <w:spacing w:line="360" w:lineRule="auto"/>
        <w:ind w:left="0" w:right="175"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The Provider Role.</w:t>
      </w:r>
      <w:r w:rsidRPr="00F2180D">
        <w:rPr>
          <w:rFonts w:cs="Garamond"/>
          <w:b/>
          <w:bCs/>
          <w:spacing w:val="69"/>
          <w:sz w:val="18"/>
          <w:szCs w:val="18"/>
        </w:rPr>
        <w:t xml:space="preserve"> </w:t>
      </w:r>
      <w:r w:rsidRPr="00F2180D">
        <w:rPr>
          <w:rFonts w:ascii="CeraGR-Regular" w:eastAsiaTheme="minorHAnsi" w:hAnsi="CeraGR-Regular" w:cs="CeraGR-Regular"/>
          <w:color w:val="474746"/>
          <w:sz w:val="18"/>
          <w:szCs w:val="18"/>
        </w:rPr>
        <w:t xml:space="preserve">Providers agree to adhere to the Business Associate Agreement, as well as to the guidelines provided herein. EAP services provided include assessment, referral, brief/solution-focused therapy, crisis stabilization, and problem solving/personal development for workplace issues. </w:t>
      </w:r>
      <w:r w:rsidR="004033EF">
        <w:rPr>
          <w:rFonts w:ascii="CeraGR-Regular" w:eastAsiaTheme="minorHAnsi" w:hAnsi="CeraGR-Regular" w:cs="CeraGR-Regular"/>
          <w:color w:val="474746"/>
          <w:sz w:val="18"/>
          <w:szCs w:val="18"/>
        </w:rPr>
        <w:t>The number of sessions available for s</w:t>
      </w:r>
      <w:r w:rsidRPr="00F2180D">
        <w:rPr>
          <w:rFonts w:ascii="CeraGR-Regular" w:eastAsiaTheme="minorHAnsi" w:hAnsi="CeraGR-Regular" w:cs="CeraGR-Regular"/>
          <w:color w:val="474746"/>
          <w:sz w:val="18"/>
          <w:szCs w:val="18"/>
        </w:rPr>
        <w:t>hort-term counseling is based on the client’s service model, which varies</w:t>
      </w:r>
      <w:r w:rsidR="00564C42">
        <w:rPr>
          <w:rFonts w:ascii="CeraGR-Regular" w:eastAsiaTheme="minorHAnsi" w:hAnsi="CeraGR-Regular" w:cs="CeraGR-Regular"/>
          <w:color w:val="474746"/>
          <w:sz w:val="18"/>
          <w:szCs w:val="18"/>
        </w:rPr>
        <w:t>.</w:t>
      </w:r>
    </w:p>
    <w:p w14:paraId="55B0C9E7" w14:textId="77777777" w:rsidR="009428C3" w:rsidRPr="00F2180D" w:rsidRDefault="009428C3" w:rsidP="00CB4A9D">
      <w:pPr>
        <w:pStyle w:val="BodyText"/>
        <w:spacing w:line="360" w:lineRule="auto"/>
        <w:ind w:left="0" w:right="110" w:firstLine="0"/>
        <w:rPr>
          <w:rFonts w:ascii="Centrale Sans Regular" w:eastAsiaTheme="minorEastAsia" w:hAnsi="Centrale Sans Regular"/>
          <w:b/>
          <w:color w:val="1F354D"/>
          <w:sz w:val="18"/>
          <w:szCs w:val="18"/>
        </w:rPr>
      </w:pPr>
    </w:p>
    <w:p w14:paraId="5E2529F2" w14:textId="13142672" w:rsidR="003C3B69" w:rsidRDefault="001C4945" w:rsidP="00CB4A9D">
      <w:pPr>
        <w:pStyle w:val="BodyText"/>
        <w:spacing w:line="360" w:lineRule="auto"/>
        <w:ind w:left="0" w:right="110" w:firstLine="0"/>
      </w:pPr>
      <w:r w:rsidRPr="00F2180D">
        <w:rPr>
          <w:rFonts w:ascii="Centrale Sans Regular" w:eastAsiaTheme="minorEastAsia" w:hAnsi="Centrale Sans Regular"/>
          <w:b/>
          <w:color w:val="1F354D"/>
          <w:sz w:val="18"/>
          <w:szCs w:val="18"/>
        </w:rPr>
        <w:t>Provider On-Boarding.</w:t>
      </w:r>
      <w:r w:rsidRPr="00F2180D">
        <w:rPr>
          <w:spacing w:val="69"/>
          <w:sz w:val="18"/>
          <w:szCs w:val="18"/>
        </w:rPr>
        <w:t xml:space="preserve"> </w:t>
      </w:r>
      <w:r w:rsidRPr="00F2180D">
        <w:rPr>
          <w:rFonts w:ascii="CeraGR-Regular" w:eastAsiaTheme="minorHAnsi" w:hAnsi="CeraGR-Regular" w:cs="CeraGR-Regular"/>
          <w:color w:val="474746"/>
          <w:sz w:val="18"/>
          <w:szCs w:val="18"/>
        </w:rPr>
        <w:t xml:space="preserve">The on-boarding process for McLaughlin Young starts with Provider Management. </w:t>
      </w:r>
      <w:r w:rsidR="00B43191">
        <w:rPr>
          <w:rFonts w:ascii="CeraGR-Regular" w:eastAsiaTheme="minorHAnsi" w:hAnsi="CeraGR-Regular" w:cs="CeraGR-Regular"/>
          <w:color w:val="474746"/>
          <w:sz w:val="18"/>
          <w:szCs w:val="18"/>
        </w:rPr>
        <w:t>Once the completed application is submitted</w:t>
      </w:r>
      <w:r w:rsidR="00C5026D">
        <w:rPr>
          <w:rFonts w:ascii="CeraGR-Regular" w:eastAsiaTheme="minorHAnsi" w:hAnsi="CeraGR-Regular" w:cs="CeraGR-Regular"/>
          <w:color w:val="474746"/>
          <w:sz w:val="18"/>
          <w:szCs w:val="18"/>
        </w:rPr>
        <w:t>,</w:t>
      </w:r>
      <w:r w:rsidR="00B43191">
        <w:rPr>
          <w:rFonts w:ascii="CeraGR-Regular" w:eastAsiaTheme="minorHAnsi" w:hAnsi="CeraGR-Regular" w:cs="CeraGR-Regular"/>
          <w:color w:val="474746"/>
          <w:sz w:val="18"/>
          <w:szCs w:val="18"/>
        </w:rPr>
        <w:t xml:space="preserve"> reviewed</w:t>
      </w:r>
      <w:r w:rsidR="00C5026D">
        <w:rPr>
          <w:rFonts w:ascii="CeraGR-Regular" w:eastAsiaTheme="minorHAnsi" w:hAnsi="CeraGR-Regular" w:cs="CeraGR-Regular"/>
          <w:color w:val="474746"/>
          <w:sz w:val="18"/>
          <w:szCs w:val="18"/>
        </w:rPr>
        <w:t>, and accepted</w:t>
      </w:r>
      <w:r w:rsidR="00B43191">
        <w:rPr>
          <w:rFonts w:ascii="CeraGR-Regular" w:eastAsiaTheme="minorHAnsi" w:hAnsi="CeraGR-Regular" w:cs="CeraGR-Regular"/>
          <w:color w:val="474746"/>
          <w:sz w:val="18"/>
          <w:szCs w:val="18"/>
        </w:rPr>
        <w:t xml:space="preserve">, a representative from Provider Management will review </w:t>
      </w:r>
      <w:r w:rsidR="00FD6744">
        <w:rPr>
          <w:rFonts w:ascii="CeraGR-Regular" w:eastAsiaTheme="minorHAnsi" w:hAnsi="CeraGR-Regular" w:cs="CeraGR-Regular"/>
          <w:color w:val="474746"/>
          <w:sz w:val="18"/>
          <w:szCs w:val="18"/>
        </w:rPr>
        <w:t>MYgroup</w:t>
      </w:r>
      <w:r w:rsidR="00B43191">
        <w:rPr>
          <w:rFonts w:ascii="CeraGR-Regular" w:eastAsiaTheme="minorHAnsi" w:hAnsi="CeraGR-Regular" w:cs="CeraGR-Regular"/>
          <w:color w:val="474746"/>
          <w:sz w:val="18"/>
          <w:szCs w:val="18"/>
        </w:rPr>
        <w:t xml:space="preserve"> policies and procedures</w:t>
      </w:r>
      <w:r w:rsidR="006E0E78">
        <w:rPr>
          <w:rFonts w:ascii="CeraGR-Regular" w:eastAsiaTheme="minorHAnsi" w:hAnsi="CeraGR-Regular" w:cs="CeraGR-Regular"/>
          <w:color w:val="474746"/>
          <w:sz w:val="18"/>
          <w:szCs w:val="18"/>
        </w:rPr>
        <w:t xml:space="preserve"> with the new provider</w:t>
      </w:r>
      <w:r w:rsidR="00B43191">
        <w:rPr>
          <w:rFonts w:ascii="CeraGR-Regular" w:eastAsiaTheme="minorHAnsi" w:hAnsi="CeraGR-Regular" w:cs="CeraGR-Regular"/>
          <w:color w:val="474746"/>
          <w:sz w:val="18"/>
          <w:szCs w:val="18"/>
        </w:rPr>
        <w:t xml:space="preserve">, typically in a phone call. </w:t>
      </w:r>
      <w:r w:rsidRPr="00F2180D">
        <w:rPr>
          <w:rFonts w:ascii="CeraGR-Regular" w:eastAsiaTheme="minorHAnsi" w:hAnsi="CeraGR-Regular" w:cs="CeraGR-Regular"/>
          <w:color w:val="474746"/>
          <w:sz w:val="18"/>
          <w:szCs w:val="18"/>
        </w:rPr>
        <w:t>Once</w:t>
      </w:r>
      <w:r w:rsidR="006E0E78">
        <w:rPr>
          <w:rFonts w:ascii="CeraGR-Regular" w:eastAsiaTheme="minorHAnsi" w:hAnsi="CeraGR-Regular" w:cs="CeraGR-Regular"/>
          <w:color w:val="474746"/>
          <w:sz w:val="18"/>
          <w:szCs w:val="18"/>
        </w:rPr>
        <w:t xml:space="preserve"> accepted</w:t>
      </w:r>
      <w:r w:rsidRPr="00F2180D">
        <w:rPr>
          <w:rFonts w:ascii="CeraGR-Regular" w:eastAsiaTheme="minorHAnsi" w:hAnsi="CeraGR-Regular" w:cs="CeraGR-Regular"/>
          <w:color w:val="474746"/>
          <w:sz w:val="18"/>
          <w:szCs w:val="18"/>
        </w:rPr>
        <w:t>, providers agree to take on EAP referrals based on company and client need within a given geographic area.</w:t>
      </w:r>
      <w:r w:rsidR="006C78FC">
        <w:rPr>
          <w:rFonts w:ascii="CeraGR-Regular" w:eastAsiaTheme="minorHAnsi" w:hAnsi="CeraGR-Regular" w:cs="CeraGR-Regular"/>
          <w:color w:val="474746"/>
          <w:sz w:val="18"/>
          <w:szCs w:val="18"/>
        </w:rPr>
        <w:t xml:space="preserve"> </w:t>
      </w:r>
    </w:p>
    <w:p w14:paraId="070EF276" w14:textId="77777777" w:rsidR="003C3B69" w:rsidRPr="00F2180D" w:rsidRDefault="003C3B69" w:rsidP="00CB4A9D">
      <w:pPr>
        <w:pStyle w:val="BodyText"/>
        <w:spacing w:line="360" w:lineRule="auto"/>
        <w:ind w:left="0" w:right="110" w:firstLine="0"/>
        <w:rPr>
          <w:rFonts w:ascii="CeraGR-Regular" w:eastAsiaTheme="minorHAnsi" w:hAnsi="CeraGR-Regular" w:cs="CeraGR-Regular"/>
          <w:color w:val="474746"/>
          <w:sz w:val="18"/>
          <w:szCs w:val="18"/>
        </w:rPr>
      </w:pPr>
    </w:p>
    <w:p w14:paraId="3BD905C9" w14:textId="2D2953B7" w:rsidR="0000714B" w:rsidRPr="00F2180D" w:rsidRDefault="00FD6744" w:rsidP="00CB4A9D">
      <w:pPr>
        <w:pStyle w:val="BodyText"/>
        <w:spacing w:line="360" w:lineRule="auto"/>
        <w:ind w:left="0" w:right="240" w:firstLine="0"/>
        <w:rPr>
          <w:color w:val="474746"/>
          <w:sz w:val="18"/>
          <w:szCs w:val="18"/>
        </w:rPr>
      </w:pPr>
      <w:r>
        <w:rPr>
          <w:rFonts w:ascii="Centrale Sans Regular" w:eastAsiaTheme="minorEastAsia" w:hAnsi="Centrale Sans Regular"/>
          <w:b/>
          <w:color w:val="1F354D"/>
          <w:sz w:val="18"/>
          <w:szCs w:val="18"/>
        </w:rPr>
        <w:t>MYgroup</w:t>
      </w:r>
      <w:r w:rsidR="001C4945" w:rsidRPr="00F2180D">
        <w:rPr>
          <w:rFonts w:ascii="Centrale Sans Regular" w:eastAsiaTheme="minorEastAsia" w:hAnsi="Centrale Sans Regular"/>
          <w:b/>
          <w:color w:val="1F354D"/>
          <w:sz w:val="18"/>
          <w:szCs w:val="18"/>
        </w:rPr>
        <w:t xml:space="preserve"> Credentialing Standards.</w:t>
      </w:r>
      <w:r w:rsidR="001C4945" w:rsidRPr="00F2180D">
        <w:rPr>
          <w:b/>
          <w:spacing w:val="-2"/>
          <w:sz w:val="18"/>
          <w:szCs w:val="18"/>
        </w:rPr>
        <w:t xml:space="preserve"> </w:t>
      </w:r>
      <w:r w:rsidR="00564C42">
        <w:rPr>
          <w:rFonts w:ascii="CeraGR-Regular" w:eastAsiaTheme="minorHAnsi" w:hAnsi="CeraGR-Regular" w:cs="CeraGR-Regular"/>
          <w:color w:val="474746"/>
          <w:sz w:val="18"/>
          <w:szCs w:val="18"/>
        </w:rPr>
        <w:t>Providers</w:t>
      </w:r>
      <w:r w:rsidR="001C4945" w:rsidRPr="00F2180D">
        <w:rPr>
          <w:rFonts w:ascii="CeraGR-Regular" w:eastAsiaTheme="minorHAnsi" w:hAnsi="CeraGR-Regular" w:cs="CeraGR-Regular"/>
          <w:color w:val="474746"/>
          <w:sz w:val="18"/>
          <w:szCs w:val="18"/>
        </w:rPr>
        <w:t xml:space="preserve"> must have 5 years post-graduate clinical experience and be fully licensed in their practicing state. Rare exceptions to post-graduate experience requirements are made by </w:t>
      </w:r>
      <w:r w:rsidR="001C4945" w:rsidRPr="00F2180D">
        <w:rPr>
          <w:rFonts w:ascii="CeraGR-Regular" w:eastAsiaTheme="minorHAnsi" w:hAnsi="CeraGR-Regular" w:cs="CeraGR-Regular"/>
          <w:color w:val="474746"/>
          <w:sz w:val="18"/>
          <w:szCs w:val="18"/>
        </w:rPr>
        <w:lastRenderedPageBreak/>
        <w:t xml:space="preserve">the </w:t>
      </w:r>
      <w:r>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EAP Director on a case-by-case basis due to emergency situations and continued client care.</w:t>
      </w:r>
    </w:p>
    <w:p w14:paraId="0FBFD447" w14:textId="77777777" w:rsidR="0000714B" w:rsidRPr="00F2180D" w:rsidRDefault="0000714B" w:rsidP="006177CA">
      <w:pPr>
        <w:spacing w:before="10" w:line="360" w:lineRule="auto"/>
        <w:rPr>
          <w:rFonts w:ascii="Garamond" w:eastAsia="Garamond" w:hAnsi="Garamond" w:cs="Garamond"/>
          <w:sz w:val="18"/>
          <w:szCs w:val="18"/>
        </w:rPr>
      </w:pPr>
    </w:p>
    <w:p w14:paraId="4D3F5C9E" w14:textId="53E6C1DA" w:rsidR="00614D5F" w:rsidRPr="0062547C" w:rsidRDefault="001C4945" w:rsidP="00CB4A9D">
      <w:pPr>
        <w:pStyle w:val="BodyText"/>
        <w:spacing w:line="360" w:lineRule="auto"/>
        <w:ind w:left="0" w:right="110" w:firstLine="0"/>
        <w:rPr>
          <w:rFonts w:ascii="CeraGR-Regular" w:eastAsiaTheme="minorHAnsi" w:hAnsi="CeraGR-Regular" w:cs="CeraGR-Regular"/>
          <w:color w:val="404040" w:themeColor="text1" w:themeTint="BF"/>
          <w:sz w:val="18"/>
          <w:szCs w:val="18"/>
        </w:rPr>
      </w:pPr>
      <w:r w:rsidRPr="00F2180D">
        <w:rPr>
          <w:rFonts w:ascii="CeraGR-Regular" w:eastAsiaTheme="minorHAnsi" w:hAnsi="CeraGR-Regular" w:cs="CeraGR-Regular"/>
          <w:color w:val="474746"/>
          <w:sz w:val="18"/>
          <w:szCs w:val="18"/>
        </w:rPr>
        <w:t xml:space="preserve">All providers are required to submit the following documentation to be entered into the network, and must keep all licensure/insurance information updated with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w:t>
      </w:r>
      <w:r w:rsidRPr="0062547C">
        <w:rPr>
          <w:rFonts w:ascii="CeraGR-Regular" w:eastAsiaTheme="minorHAnsi" w:hAnsi="CeraGR-Regular" w:cs="CeraGR-Regular"/>
          <w:color w:val="404040" w:themeColor="text1" w:themeTint="BF"/>
          <w:sz w:val="18"/>
          <w:szCs w:val="18"/>
        </w:rPr>
        <w:t>(Non-adherence to this policy will result in cancellation of the Business Associate Agreement)</w:t>
      </w:r>
    </w:p>
    <w:p w14:paraId="12D0F56A" w14:textId="77777777" w:rsidR="0000714B" w:rsidRPr="00F2180D" w:rsidRDefault="001C4945" w:rsidP="00CB4A9D">
      <w:pPr>
        <w:pStyle w:val="BodyText"/>
        <w:numPr>
          <w:ilvl w:val="0"/>
          <w:numId w:val="6"/>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 completed Provider Application</w:t>
      </w:r>
    </w:p>
    <w:p w14:paraId="75639914" w14:textId="77777777" w:rsidR="0000714B" w:rsidRPr="00F2180D" w:rsidRDefault="001C4945" w:rsidP="00CB4A9D">
      <w:pPr>
        <w:pStyle w:val="BodyText"/>
        <w:numPr>
          <w:ilvl w:val="0"/>
          <w:numId w:val="6"/>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The signed Business Associate Agreement (BAA)</w:t>
      </w:r>
    </w:p>
    <w:p w14:paraId="08F48F9A" w14:textId="77777777" w:rsidR="0000714B" w:rsidRPr="00F2180D" w:rsidRDefault="001C4945" w:rsidP="00CB4A9D">
      <w:pPr>
        <w:pStyle w:val="BodyText"/>
        <w:numPr>
          <w:ilvl w:val="0"/>
          <w:numId w:val="6"/>
        </w:numPr>
        <w:spacing w:line="360" w:lineRule="auto"/>
        <w:ind w:left="360" w:right="1357"/>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 copy of your W-9 form, indicating your Federal Tax ID number or SSN</w:t>
      </w:r>
    </w:p>
    <w:p w14:paraId="2935B9D3" w14:textId="4E7CB481" w:rsidR="0000714B" w:rsidRDefault="001C4945" w:rsidP="00CB4A9D">
      <w:pPr>
        <w:pStyle w:val="BodyText"/>
        <w:numPr>
          <w:ilvl w:val="0"/>
          <w:numId w:val="6"/>
        </w:numPr>
        <w:spacing w:before="1" w:line="360" w:lineRule="auto"/>
        <w:ind w:left="360" w:right="1837"/>
        <w:jc w:val="both"/>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Documentation of active state clinical licensure* with expiration dates (e.g., renewal letter), and any letter of indication of lapse or revocation.</w:t>
      </w:r>
    </w:p>
    <w:p w14:paraId="3106ABF1" w14:textId="3F7DF256" w:rsidR="00A83714" w:rsidRDefault="001C4945" w:rsidP="00A83714">
      <w:pPr>
        <w:pStyle w:val="BodyText"/>
        <w:numPr>
          <w:ilvl w:val="0"/>
          <w:numId w:val="6"/>
        </w:numPr>
        <w:spacing w:before="1" w:line="360" w:lineRule="auto"/>
        <w:ind w:left="360" w:right="1837"/>
        <w:jc w:val="both"/>
        <w:rPr>
          <w:rFonts w:ascii="CeraGR-Regular" w:eastAsiaTheme="minorHAnsi" w:hAnsi="CeraGR-Regular" w:cs="CeraGR-Regular"/>
          <w:color w:val="474746"/>
          <w:sz w:val="18"/>
          <w:szCs w:val="18"/>
        </w:rPr>
      </w:pPr>
      <w:r w:rsidRPr="00A83714">
        <w:rPr>
          <w:rFonts w:ascii="CeraGR-Regular" w:eastAsiaTheme="minorHAnsi" w:hAnsi="CeraGR-Regular" w:cs="CeraGR-Regular"/>
          <w:color w:val="474746"/>
          <w:sz w:val="18"/>
          <w:szCs w:val="18"/>
        </w:rPr>
        <w:t xml:space="preserve">Documentation of active professional clinical malpractice liability insurance. Minimums: Individual - </w:t>
      </w:r>
      <w:r w:rsidR="00A83714">
        <w:rPr>
          <w:rFonts w:ascii="CeraGR-Regular" w:eastAsiaTheme="minorHAnsi" w:hAnsi="CeraGR-Regular" w:cs="CeraGR-Regular"/>
          <w:color w:val="474746"/>
          <w:sz w:val="18"/>
          <w:szCs w:val="18"/>
        </w:rPr>
        <w:t>$</w:t>
      </w:r>
      <w:r w:rsidRPr="00A83714">
        <w:rPr>
          <w:rFonts w:ascii="CeraGR-Regular" w:eastAsiaTheme="minorHAnsi" w:hAnsi="CeraGR-Regular" w:cs="CeraGR-Regular"/>
          <w:color w:val="474746"/>
          <w:sz w:val="18"/>
          <w:szCs w:val="18"/>
        </w:rPr>
        <w:t xml:space="preserve">1,000,000, Aggregate – </w:t>
      </w:r>
      <w:r w:rsidR="00A83714">
        <w:rPr>
          <w:rFonts w:ascii="CeraGR-Regular" w:eastAsiaTheme="minorHAnsi" w:hAnsi="CeraGR-Regular" w:cs="CeraGR-Regular"/>
          <w:color w:val="474746"/>
          <w:sz w:val="18"/>
          <w:szCs w:val="18"/>
        </w:rPr>
        <w:t>$</w:t>
      </w:r>
      <w:r w:rsidR="009315E1" w:rsidRPr="00A83714">
        <w:rPr>
          <w:rFonts w:ascii="CeraGR-Regular" w:eastAsiaTheme="minorHAnsi" w:hAnsi="CeraGR-Regular" w:cs="CeraGR-Regular"/>
          <w:color w:val="474746"/>
          <w:sz w:val="18"/>
          <w:szCs w:val="18"/>
        </w:rPr>
        <w:t>3,000,000</w:t>
      </w:r>
    </w:p>
    <w:p w14:paraId="3A7FBE17" w14:textId="0724FCE6" w:rsidR="0000714B" w:rsidRPr="00A83714" w:rsidRDefault="009315E1" w:rsidP="00A83714">
      <w:pPr>
        <w:pStyle w:val="BodyText"/>
        <w:tabs>
          <w:tab w:val="left" w:pos="90"/>
        </w:tabs>
        <w:spacing w:before="1" w:line="360" w:lineRule="auto"/>
        <w:ind w:left="0" w:right="1837" w:firstLine="0"/>
        <w:jc w:val="both"/>
        <w:rPr>
          <w:rFonts w:ascii="CeraGR-Regular" w:eastAsiaTheme="minorHAnsi" w:hAnsi="CeraGR-Regular" w:cs="CeraGR-Regular"/>
          <w:color w:val="474746"/>
          <w:sz w:val="18"/>
          <w:szCs w:val="18"/>
        </w:rPr>
      </w:pPr>
      <w:r w:rsidRPr="00A83714">
        <w:rPr>
          <w:rFonts w:ascii="Centrale Sans Regular" w:eastAsiaTheme="minorEastAsia" w:hAnsi="Centrale Sans Regular"/>
          <w:b/>
          <w:color w:val="1F354D"/>
          <w:sz w:val="18"/>
          <w:szCs w:val="18"/>
        </w:rPr>
        <w:t>Note:</w:t>
      </w:r>
      <w:r w:rsidRPr="00A83714">
        <w:rPr>
          <w:b/>
          <w:spacing w:val="67"/>
          <w:sz w:val="18"/>
          <w:szCs w:val="18"/>
        </w:rPr>
        <w:t xml:space="preserve"> </w:t>
      </w:r>
      <w:r w:rsidRPr="00A83714">
        <w:rPr>
          <w:rFonts w:ascii="CeraGR-Regular" w:eastAsiaTheme="minorHAnsi" w:hAnsi="CeraGR-Regular" w:cs="CeraGR-Regular"/>
          <w:color w:val="474746"/>
          <w:sz w:val="18"/>
          <w:szCs w:val="18"/>
        </w:rPr>
        <w:t>Group practices must credential clinicians individually.</w:t>
      </w:r>
    </w:p>
    <w:p w14:paraId="5736C3BD" w14:textId="137962A0" w:rsidR="0000714B" w:rsidRPr="00F2180D" w:rsidRDefault="001C4945" w:rsidP="00CB4A9D">
      <w:pPr>
        <w:pStyle w:val="BodyText"/>
        <w:spacing w:line="360" w:lineRule="auto"/>
        <w:ind w:left="0" w:right="110"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*Valid clinical licensures include: LMFT, L</w:t>
      </w:r>
      <w:r w:rsidR="00C62599">
        <w:rPr>
          <w:rFonts w:ascii="CeraGR-Regular" w:eastAsiaTheme="minorHAnsi" w:hAnsi="CeraGR-Regular" w:cs="CeraGR-Regular"/>
          <w:color w:val="474746"/>
          <w:sz w:val="18"/>
          <w:szCs w:val="18"/>
        </w:rPr>
        <w:t>CMH</w:t>
      </w:r>
      <w:r w:rsidRPr="00F2180D">
        <w:rPr>
          <w:rFonts w:ascii="CeraGR-Regular" w:eastAsiaTheme="minorHAnsi" w:hAnsi="CeraGR-Regular" w:cs="CeraGR-Regular"/>
          <w:color w:val="474746"/>
          <w:sz w:val="18"/>
          <w:szCs w:val="18"/>
        </w:rPr>
        <w:t xml:space="preserve">C, LCSW, </w:t>
      </w:r>
      <w:r w:rsidR="00B679BA">
        <w:rPr>
          <w:rFonts w:ascii="CeraGR-Regular" w:eastAsiaTheme="minorHAnsi" w:hAnsi="CeraGR-Regular" w:cs="CeraGR-Regular"/>
          <w:color w:val="474746"/>
          <w:sz w:val="18"/>
          <w:szCs w:val="18"/>
        </w:rPr>
        <w:t xml:space="preserve">LPC, </w:t>
      </w:r>
      <w:r w:rsidRPr="00F2180D">
        <w:rPr>
          <w:rFonts w:ascii="CeraGR-Regular" w:eastAsiaTheme="minorHAnsi" w:hAnsi="CeraGR-Regular" w:cs="CeraGR-Regular"/>
          <w:color w:val="474746"/>
          <w:sz w:val="18"/>
          <w:szCs w:val="18"/>
        </w:rPr>
        <w:t>HSP-P. If your clinical licensure is not</w:t>
      </w:r>
      <w:r w:rsidR="009315E1" w:rsidRPr="00F2180D">
        <w:rPr>
          <w:rFonts w:ascii="CeraGR-Regular" w:eastAsiaTheme="minorHAnsi" w:hAnsi="CeraGR-Regular" w:cs="CeraGR-Regular"/>
          <w:color w:val="474746"/>
          <w:sz w:val="18"/>
          <w:szCs w:val="18"/>
        </w:rPr>
        <w:t xml:space="preserve"> </w:t>
      </w:r>
      <w:r w:rsidR="00A46708">
        <w:rPr>
          <w:rFonts w:ascii="CeraGR-Regular" w:eastAsiaTheme="minorHAnsi" w:hAnsi="CeraGR-Regular" w:cs="CeraGR-Regular"/>
          <w:color w:val="474746"/>
          <w:sz w:val="18"/>
          <w:szCs w:val="18"/>
        </w:rPr>
        <w:t>listed here, please contact Provider Management to inquire further.</w:t>
      </w:r>
    </w:p>
    <w:p w14:paraId="6AFFFB8E" w14:textId="77777777" w:rsidR="00170CAE" w:rsidRPr="00F2180D" w:rsidRDefault="00170CAE" w:rsidP="00CB4A9D">
      <w:pPr>
        <w:spacing w:line="360" w:lineRule="auto"/>
        <w:ind w:right="235"/>
        <w:rPr>
          <w:rFonts w:ascii="Centrale Sans Regular" w:eastAsiaTheme="minorEastAsia" w:hAnsi="Centrale Sans Regular"/>
          <w:b/>
          <w:color w:val="01426A"/>
          <w:sz w:val="18"/>
          <w:szCs w:val="18"/>
        </w:rPr>
      </w:pPr>
    </w:p>
    <w:p w14:paraId="1CDDF6A9" w14:textId="7BFC7707" w:rsidR="006E0E78" w:rsidRDefault="001C4945" w:rsidP="00CB4A9D">
      <w:pPr>
        <w:pStyle w:val="BodyText"/>
        <w:spacing w:line="360" w:lineRule="auto"/>
        <w:ind w:left="0" w:right="190" w:firstLine="0"/>
        <w:rPr>
          <w:rFonts w:ascii="CeraGR-Regular" w:hAnsi="CeraGR-Regular" w:cs="CeraGR-Regular"/>
          <w:color w:val="474746"/>
          <w:sz w:val="18"/>
          <w:szCs w:val="18"/>
        </w:rPr>
      </w:pPr>
      <w:r w:rsidRPr="00F2180D">
        <w:rPr>
          <w:rFonts w:ascii="Centrale Sans Regular" w:eastAsiaTheme="minorEastAsia" w:hAnsi="Centrale Sans Regular"/>
          <w:b/>
          <w:color w:val="1F354D"/>
          <w:sz w:val="18"/>
          <w:szCs w:val="18"/>
        </w:rPr>
        <w:t>Updating Provider Profile Information.</w:t>
      </w:r>
      <w:r w:rsidRPr="00F2180D">
        <w:rPr>
          <w:b/>
          <w:sz w:val="18"/>
          <w:szCs w:val="18"/>
        </w:rPr>
        <w:t xml:space="preserve">  </w:t>
      </w:r>
      <w:r w:rsidRPr="00F2180D">
        <w:rPr>
          <w:rFonts w:ascii="CeraGR-Regular" w:hAnsi="CeraGR-Regular" w:cs="CeraGR-Regular"/>
          <w:color w:val="474746"/>
          <w:sz w:val="18"/>
          <w:szCs w:val="18"/>
        </w:rPr>
        <w:t>To update provider profile information, please call, fax, or email changes</w:t>
      </w:r>
      <w:r w:rsidR="004F31B1">
        <w:rPr>
          <w:rFonts w:ascii="CeraGR-Regular" w:hAnsi="CeraGR-Regular" w:cs="CeraGR-Regular"/>
          <w:color w:val="474746"/>
          <w:sz w:val="18"/>
          <w:szCs w:val="18"/>
        </w:rPr>
        <w:t xml:space="preserve"> to Provider Management</w:t>
      </w:r>
      <w:r w:rsidRPr="00F2180D">
        <w:rPr>
          <w:rFonts w:ascii="CeraGR-Regular" w:hAnsi="CeraGR-Regular" w:cs="CeraGR-Regular"/>
          <w:color w:val="474746"/>
          <w:sz w:val="18"/>
          <w:szCs w:val="18"/>
        </w:rPr>
        <w:t xml:space="preserve">. If </w:t>
      </w:r>
      <w:r w:rsidR="006E0E78">
        <w:rPr>
          <w:rFonts w:ascii="CeraGR-Regular" w:hAnsi="CeraGR-Regular" w:cs="CeraGR-Regular"/>
          <w:color w:val="474746"/>
          <w:sz w:val="18"/>
          <w:szCs w:val="18"/>
        </w:rPr>
        <w:t>the provider</w:t>
      </w:r>
      <w:r w:rsidRPr="00F2180D">
        <w:rPr>
          <w:rFonts w:ascii="CeraGR-Regular" w:hAnsi="CeraGR-Regular" w:cs="CeraGR-Regular"/>
          <w:color w:val="474746"/>
          <w:sz w:val="18"/>
          <w:szCs w:val="18"/>
        </w:rPr>
        <w:t xml:space="preserve"> receive</w:t>
      </w:r>
      <w:r w:rsidR="006E0E78">
        <w:rPr>
          <w:rFonts w:ascii="CeraGR-Regular" w:hAnsi="CeraGR-Regular" w:cs="CeraGR-Regular"/>
          <w:color w:val="474746"/>
          <w:sz w:val="18"/>
          <w:szCs w:val="18"/>
        </w:rPr>
        <w:t>s</w:t>
      </w:r>
      <w:r w:rsidRPr="00F2180D">
        <w:rPr>
          <w:rFonts w:ascii="CeraGR-Regular" w:hAnsi="CeraGR-Regular" w:cs="CeraGR-Regular"/>
          <w:color w:val="474746"/>
          <w:sz w:val="18"/>
          <w:szCs w:val="18"/>
        </w:rPr>
        <w:t xml:space="preserve"> a referral during a time of change, please confirm contact and location information with the </w:t>
      </w:r>
      <w:r w:rsidR="00FD6744">
        <w:rPr>
          <w:rFonts w:ascii="CeraGR-Regular" w:hAnsi="CeraGR-Regular" w:cs="CeraGR-Regular"/>
          <w:color w:val="474746"/>
          <w:sz w:val="18"/>
          <w:szCs w:val="18"/>
        </w:rPr>
        <w:t>MYgroup</w:t>
      </w:r>
      <w:r w:rsidRPr="00F2180D">
        <w:rPr>
          <w:rFonts w:ascii="CeraGR-Regular" w:hAnsi="CeraGR-Regular" w:cs="CeraGR-Regular"/>
          <w:color w:val="474746"/>
          <w:sz w:val="18"/>
          <w:szCs w:val="18"/>
        </w:rPr>
        <w:t xml:space="preserve"> case manager to ensure that </w:t>
      </w:r>
      <w:r w:rsidR="006E0E78">
        <w:rPr>
          <w:rFonts w:ascii="CeraGR-Regular" w:hAnsi="CeraGR-Regular" w:cs="CeraGR-Regular"/>
          <w:color w:val="474746"/>
          <w:sz w:val="18"/>
          <w:szCs w:val="18"/>
        </w:rPr>
        <w:t>the</w:t>
      </w:r>
      <w:r w:rsidRPr="00F2180D">
        <w:rPr>
          <w:rFonts w:ascii="CeraGR-Regular" w:hAnsi="CeraGR-Regular" w:cs="CeraGR-Regular"/>
          <w:color w:val="474746"/>
          <w:sz w:val="18"/>
          <w:szCs w:val="18"/>
        </w:rPr>
        <w:t xml:space="preserve"> client will be able to contact and locate you reliably. </w:t>
      </w:r>
    </w:p>
    <w:p w14:paraId="683F3D39" w14:textId="77777777" w:rsidR="00617244" w:rsidRDefault="00617244" w:rsidP="00617244">
      <w:pPr>
        <w:pStyle w:val="BodyText"/>
        <w:spacing w:line="360" w:lineRule="auto"/>
        <w:ind w:left="0" w:right="190" w:firstLine="0"/>
        <w:rPr>
          <w:rFonts w:ascii="Centrale Sans Regular" w:eastAsiaTheme="minorEastAsia" w:hAnsi="Centrale Sans Regular"/>
          <w:b/>
          <w:color w:val="1F354D"/>
          <w:sz w:val="18"/>
          <w:szCs w:val="18"/>
        </w:rPr>
      </w:pPr>
    </w:p>
    <w:p w14:paraId="04961B58" w14:textId="7E85A606" w:rsidR="006E0E78" w:rsidRPr="00F2180D" w:rsidRDefault="006E0E78" w:rsidP="00A83714">
      <w:pPr>
        <w:pStyle w:val="BodyText"/>
        <w:spacing w:line="360" w:lineRule="auto"/>
        <w:ind w:left="0" w:right="190"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Hold Referrals.</w:t>
      </w:r>
      <w:r>
        <w:rPr>
          <w:rFonts w:ascii="CeraGR-Regular" w:hAnsi="CeraGR-Regular" w:cs="CeraGR-Regular"/>
          <w:b/>
          <w:color w:val="474746"/>
          <w:sz w:val="18"/>
          <w:szCs w:val="18"/>
        </w:rPr>
        <w:t xml:space="preserve"> </w:t>
      </w:r>
      <w:r w:rsidRPr="006E0E78">
        <w:rPr>
          <w:rFonts w:ascii="CeraGR-Regular" w:hAnsi="CeraGR-Regular" w:cs="CeraGR-Regular"/>
          <w:bCs/>
          <w:color w:val="474746"/>
          <w:sz w:val="18"/>
          <w:szCs w:val="18"/>
        </w:rPr>
        <w:t>If the provider</w:t>
      </w:r>
      <w:r w:rsidR="001C4945" w:rsidRPr="006E0E78">
        <w:rPr>
          <w:rFonts w:ascii="CeraGR-Regular" w:hAnsi="CeraGR-Regular" w:cs="CeraGR-Regular"/>
          <w:bCs/>
          <w:color w:val="474746"/>
          <w:sz w:val="18"/>
          <w:szCs w:val="18"/>
        </w:rPr>
        <w:t xml:space="preserve"> will be on extended leave greater than one week (i.e., vacation,</w:t>
      </w:r>
      <w:r w:rsidR="00170CAE" w:rsidRPr="006E0E78">
        <w:rPr>
          <w:rFonts w:ascii="CeraGR-Regular" w:hAnsi="CeraGR-Regular" w:cs="CeraGR-Regular"/>
          <w:bCs/>
          <w:color w:val="474746"/>
          <w:sz w:val="18"/>
          <w:szCs w:val="18"/>
        </w:rPr>
        <w:t xml:space="preserve"> surgery)</w:t>
      </w:r>
      <w:r w:rsidR="0062547C">
        <w:rPr>
          <w:rFonts w:ascii="CeraGR-Regular" w:hAnsi="CeraGR-Regular" w:cs="CeraGR-Regular"/>
          <w:bCs/>
          <w:color w:val="474746"/>
          <w:sz w:val="18"/>
          <w:szCs w:val="18"/>
        </w:rPr>
        <w:t xml:space="preserve"> or is too full to accept new clients</w:t>
      </w:r>
      <w:r w:rsidR="00170CAE" w:rsidRPr="006E0E78">
        <w:rPr>
          <w:rFonts w:ascii="CeraGR-Regular" w:hAnsi="CeraGR-Regular" w:cs="CeraGR-Regular"/>
          <w:bCs/>
          <w:color w:val="474746"/>
          <w:sz w:val="18"/>
          <w:szCs w:val="18"/>
        </w:rPr>
        <w:t xml:space="preserve">, please advise </w:t>
      </w:r>
      <w:r w:rsidR="00FD6744">
        <w:rPr>
          <w:rFonts w:ascii="CeraGR-Regular" w:hAnsi="CeraGR-Regular" w:cs="CeraGR-Regular"/>
          <w:bCs/>
          <w:color w:val="474746"/>
          <w:sz w:val="18"/>
          <w:szCs w:val="18"/>
        </w:rPr>
        <w:t>MYgroup</w:t>
      </w:r>
      <w:r w:rsidR="00170CAE" w:rsidRPr="006E0E78">
        <w:rPr>
          <w:rFonts w:ascii="CeraGR-Regular" w:hAnsi="CeraGR-Regular" w:cs="CeraGR-Regular"/>
          <w:bCs/>
          <w:color w:val="474746"/>
          <w:sz w:val="18"/>
          <w:szCs w:val="18"/>
        </w:rPr>
        <w:t xml:space="preserve"> </w:t>
      </w:r>
      <w:r w:rsidRPr="006E0E78">
        <w:rPr>
          <w:rFonts w:ascii="CeraGR-Regular" w:hAnsi="CeraGR-Regular" w:cs="CeraGR-Regular"/>
          <w:bCs/>
          <w:color w:val="474746"/>
          <w:sz w:val="18"/>
          <w:szCs w:val="18"/>
        </w:rPr>
        <w:t>in advance</w:t>
      </w:r>
      <w:r w:rsidR="001C4945" w:rsidRPr="006E0E78">
        <w:rPr>
          <w:rFonts w:ascii="CeraGR-Regular" w:hAnsi="CeraGR-Regular" w:cs="CeraGR-Regular"/>
          <w:bCs/>
          <w:color w:val="474746"/>
          <w:sz w:val="18"/>
          <w:szCs w:val="18"/>
        </w:rPr>
        <w:t>.</w:t>
      </w:r>
      <w:r w:rsidRPr="006E0E78">
        <w:rPr>
          <w:rFonts w:ascii="CeraGR-Regular" w:hAnsi="CeraGR-Regular" w:cs="CeraGR-Regular"/>
          <w:bCs/>
          <w:color w:val="474746"/>
          <w:sz w:val="18"/>
          <w:szCs w:val="18"/>
        </w:rPr>
        <w:t xml:space="preserve"> The provider may specify a date for the end of the hold on referrals, and </w:t>
      </w:r>
      <w:r w:rsidR="00FD6744">
        <w:rPr>
          <w:rFonts w:ascii="CeraGR-Regular" w:hAnsi="CeraGR-Regular" w:cs="CeraGR-Regular"/>
          <w:bCs/>
          <w:color w:val="474746"/>
          <w:sz w:val="18"/>
          <w:szCs w:val="18"/>
        </w:rPr>
        <w:t>MYgroup</w:t>
      </w:r>
      <w:r w:rsidRPr="006E0E78">
        <w:rPr>
          <w:rFonts w:ascii="CeraGR-Regular" w:hAnsi="CeraGR-Regular" w:cs="CeraGR-Regular"/>
          <w:bCs/>
          <w:color w:val="474746"/>
          <w:sz w:val="18"/>
          <w:szCs w:val="18"/>
        </w:rPr>
        <w:t xml:space="preserve"> will release the hold on that date. If the provider does not give a specific date, it is the provider’s responsibility to contact </w:t>
      </w:r>
      <w:r w:rsidR="00FD6744">
        <w:rPr>
          <w:rFonts w:ascii="CeraGR-Regular" w:hAnsi="CeraGR-Regular" w:cs="CeraGR-Regular"/>
          <w:bCs/>
          <w:color w:val="474746"/>
          <w:sz w:val="18"/>
          <w:szCs w:val="18"/>
        </w:rPr>
        <w:t>MYgroup</w:t>
      </w:r>
      <w:r w:rsidRPr="006E0E78">
        <w:rPr>
          <w:rFonts w:ascii="CeraGR-Regular" w:hAnsi="CeraGR-Regular" w:cs="CeraGR-Regular"/>
          <w:bCs/>
          <w:color w:val="474746"/>
          <w:sz w:val="18"/>
          <w:szCs w:val="18"/>
        </w:rPr>
        <w:t xml:space="preserve"> when s/he is open to referrals again.</w:t>
      </w:r>
      <w:r w:rsidRPr="006E0E78">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 xml:space="preserve">In the event circumstances </w:t>
      </w:r>
      <w:r w:rsidR="00564C42">
        <w:rPr>
          <w:rFonts w:ascii="CeraGR-Regular" w:eastAsiaTheme="minorHAnsi" w:hAnsi="CeraGR-Regular" w:cs="CeraGR-Regular"/>
          <w:color w:val="474746"/>
          <w:sz w:val="18"/>
          <w:szCs w:val="18"/>
        </w:rPr>
        <w:t xml:space="preserve">permanently </w:t>
      </w:r>
      <w:r w:rsidRPr="00F2180D">
        <w:rPr>
          <w:rFonts w:ascii="CeraGR-Regular" w:eastAsiaTheme="minorHAnsi" w:hAnsi="CeraGR-Regular" w:cs="CeraGR-Regular"/>
          <w:color w:val="474746"/>
          <w:sz w:val="18"/>
          <w:szCs w:val="18"/>
        </w:rPr>
        <w:t xml:space="preserve">prevent </w:t>
      </w:r>
      <w:r>
        <w:rPr>
          <w:rFonts w:ascii="CeraGR-Regular" w:eastAsiaTheme="minorHAnsi" w:hAnsi="CeraGR-Regular" w:cs="CeraGR-Regular"/>
          <w:color w:val="474746"/>
          <w:sz w:val="18"/>
          <w:szCs w:val="18"/>
        </w:rPr>
        <w:t>the provider</w:t>
      </w:r>
      <w:r w:rsidRPr="00F2180D">
        <w:rPr>
          <w:rFonts w:ascii="CeraGR-Regular" w:eastAsiaTheme="minorHAnsi" w:hAnsi="CeraGR-Regular" w:cs="CeraGR-Regular"/>
          <w:color w:val="474746"/>
          <w:sz w:val="18"/>
          <w:szCs w:val="18"/>
        </w:rPr>
        <w:t xml:space="preserve"> from continuing to provide services </w:t>
      </w:r>
      <w:r>
        <w:rPr>
          <w:rFonts w:ascii="CeraGR-Regular" w:eastAsiaTheme="minorHAnsi" w:hAnsi="CeraGR-Regular" w:cs="CeraGR-Regular"/>
          <w:color w:val="474746"/>
          <w:sz w:val="18"/>
          <w:szCs w:val="18"/>
        </w:rPr>
        <w:t xml:space="preserve">for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clients</w:t>
      </w:r>
      <w:r w:rsidRPr="00F2180D">
        <w:rPr>
          <w:rFonts w:ascii="CeraGR-Regular" w:eastAsiaTheme="minorHAnsi" w:hAnsi="CeraGR-Regular" w:cs="CeraGR-Regular"/>
          <w:color w:val="474746"/>
          <w:sz w:val="18"/>
          <w:szCs w:val="18"/>
        </w:rPr>
        <w:t xml:space="preserve">, </w:t>
      </w:r>
      <w:r>
        <w:rPr>
          <w:rFonts w:ascii="CeraGR-Regular" w:eastAsiaTheme="minorHAnsi" w:hAnsi="CeraGR-Regular" w:cs="CeraGR-Regular"/>
          <w:color w:val="474746"/>
          <w:sz w:val="18"/>
          <w:szCs w:val="18"/>
        </w:rPr>
        <w:t>the provider should</w:t>
      </w:r>
      <w:r w:rsidRPr="00F2180D">
        <w:rPr>
          <w:rFonts w:ascii="CeraGR-Regular" w:eastAsiaTheme="minorHAnsi" w:hAnsi="CeraGR-Regular" w:cs="CeraGR-Regular"/>
          <w:color w:val="474746"/>
          <w:sz w:val="18"/>
          <w:szCs w:val="18"/>
        </w:rPr>
        <w:t xml:space="preserve"> contact </w:t>
      </w:r>
      <w:r>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 xml:space="preserve">rovider </w:t>
      </w:r>
      <w:r>
        <w:rPr>
          <w:rFonts w:ascii="CeraGR-Regular" w:eastAsiaTheme="minorHAnsi" w:hAnsi="CeraGR-Regular" w:cs="CeraGR-Regular"/>
          <w:color w:val="474746"/>
          <w:sz w:val="18"/>
          <w:szCs w:val="18"/>
        </w:rPr>
        <w:t>M</w:t>
      </w:r>
      <w:r w:rsidRPr="00F2180D">
        <w:rPr>
          <w:rFonts w:ascii="CeraGR-Regular" w:eastAsiaTheme="minorHAnsi" w:hAnsi="CeraGR-Regular" w:cs="CeraGR-Regular"/>
          <w:color w:val="474746"/>
          <w:sz w:val="18"/>
          <w:szCs w:val="18"/>
        </w:rPr>
        <w:t xml:space="preserve">anagement to terminate </w:t>
      </w:r>
      <w:r>
        <w:rPr>
          <w:rFonts w:ascii="CeraGR-Regular" w:eastAsiaTheme="minorHAnsi" w:hAnsi="CeraGR-Regular" w:cs="CeraGR-Regular"/>
          <w:color w:val="474746"/>
          <w:sz w:val="18"/>
          <w:szCs w:val="18"/>
        </w:rPr>
        <w:t>the agreement</w:t>
      </w:r>
      <w:r w:rsidRPr="00F2180D">
        <w:rPr>
          <w:rFonts w:ascii="CeraGR-Regular" w:eastAsiaTheme="minorHAnsi" w:hAnsi="CeraGR-Regular" w:cs="CeraGR-Regular"/>
          <w:color w:val="474746"/>
          <w:sz w:val="18"/>
          <w:szCs w:val="18"/>
        </w:rPr>
        <w:t>.</w:t>
      </w:r>
    </w:p>
    <w:p w14:paraId="4EC4F3F7" w14:textId="77777777" w:rsidR="0000714B" w:rsidRPr="00F2180D" w:rsidRDefault="0000714B">
      <w:pPr>
        <w:spacing w:before="1"/>
        <w:rPr>
          <w:rFonts w:ascii="Garamond" w:eastAsia="Garamond" w:hAnsi="Garamond" w:cs="Garamond"/>
          <w:b/>
          <w:bCs/>
          <w:color w:val="474746"/>
          <w:sz w:val="18"/>
          <w:szCs w:val="18"/>
        </w:rPr>
      </w:pPr>
    </w:p>
    <w:p w14:paraId="74D017AE" w14:textId="77777777" w:rsidR="0000714B" w:rsidRPr="00F2180D" w:rsidRDefault="001C4945" w:rsidP="00CB4A9D">
      <w:pPr>
        <w:spacing w:line="360" w:lineRule="auto"/>
        <w:rPr>
          <w:rFonts w:ascii="CeraGR-Regular" w:hAnsi="CeraGR-Regular" w:cs="CeraGR-Regular"/>
          <w:color w:val="474746"/>
          <w:sz w:val="18"/>
          <w:szCs w:val="18"/>
        </w:rPr>
      </w:pPr>
      <w:r w:rsidRPr="00F2180D">
        <w:rPr>
          <w:rFonts w:ascii="CeraGR-Regular" w:hAnsi="CeraGR-Regular" w:cs="CeraGR-Regular"/>
          <w:color w:val="474746"/>
          <w:sz w:val="18"/>
          <w:szCs w:val="18"/>
        </w:rPr>
        <w:t xml:space="preserve">Changes can be emailed to:  </w:t>
      </w:r>
      <w:hyperlink r:id="rId15" w:history="1">
        <w:r w:rsidR="00170CAE" w:rsidRPr="00F2180D">
          <w:rPr>
            <w:rStyle w:val="Hyperlink"/>
            <w:rFonts w:ascii="CeraGR-Regular" w:hAnsi="CeraGR-Regular" w:cs="CeraGR-Regular"/>
            <w:b/>
            <w:color w:val="2E8989"/>
            <w:sz w:val="18"/>
            <w:szCs w:val="18"/>
          </w:rPr>
          <w:t>MyProvider@MYGroup.com</w:t>
        </w:r>
      </w:hyperlink>
      <w:r w:rsidR="00170CAE" w:rsidRPr="00F2180D">
        <w:rPr>
          <w:rFonts w:ascii="CeraGR-Regular" w:hAnsi="CeraGR-Regular" w:cs="CeraGR-Regular"/>
          <w:b/>
          <w:color w:val="2E8989"/>
          <w:sz w:val="18"/>
          <w:szCs w:val="18"/>
        </w:rPr>
        <w:t xml:space="preserve"> </w:t>
      </w:r>
    </w:p>
    <w:p w14:paraId="6E295CF4" w14:textId="77777777" w:rsidR="0000714B" w:rsidRPr="00F2180D" w:rsidRDefault="001C4945" w:rsidP="00CB4A9D">
      <w:pPr>
        <w:spacing w:line="360" w:lineRule="auto"/>
        <w:rPr>
          <w:rFonts w:ascii="CeraGR-Regular" w:hAnsi="CeraGR-Regular" w:cs="CeraGR-Regular"/>
          <w:color w:val="474746"/>
          <w:sz w:val="18"/>
          <w:szCs w:val="18"/>
        </w:rPr>
      </w:pPr>
      <w:r w:rsidRPr="00F2180D">
        <w:rPr>
          <w:rFonts w:ascii="CeraGR-Regular" w:hAnsi="CeraGR-Regular" w:cs="CeraGR-Regular"/>
          <w:color w:val="474746"/>
          <w:sz w:val="18"/>
          <w:szCs w:val="18"/>
        </w:rPr>
        <w:t xml:space="preserve">Fax changes to:  </w:t>
      </w:r>
      <w:r w:rsidRPr="00F2180D">
        <w:rPr>
          <w:rFonts w:ascii="CeraGR-Regular" w:hAnsi="CeraGR-Regular" w:cs="CeraGR-Regular"/>
          <w:b/>
          <w:color w:val="474746"/>
          <w:sz w:val="18"/>
          <w:szCs w:val="18"/>
        </w:rPr>
        <w:t>704-529-5917, RE: Provider Profile Update</w:t>
      </w:r>
    </w:p>
    <w:p w14:paraId="43DFE876" w14:textId="7DB8AA2E" w:rsidR="0000714B" w:rsidRPr="00F2180D" w:rsidRDefault="001C4945" w:rsidP="00CB4A9D">
      <w:pPr>
        <w:pStyle w:val="BodyText"/>
        <w:spacing w:line="360" w:lineRule="auto"/>
        <w:ind w:left="0"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To call Provider Management, dial 1-866-850-2175, </w:t>
      </w:r>
      <w:r w:rsidR="00D000C7">
        <w:rPr>
          <w:rFonts w:ascii="CeraGR-Regular" w:eastAsiaTheme="minorHAnsi" w:hAnsi="CeraGR-Regular" w:cs="CeraGR-Regular"/>
          <w:color w:val="474746"/>
          <w:sz w:val="18"/>
          <w:szCs w:val="18"/>
        </w:rPr>
        <w:t>extension 7945</w:t>
      </w:r>
    </w:p>
    <w:p w14:paraId="1A4F1EB6" w14:textId="77777777" w:rsidR="0000714B" w:rsidRPr="00F2180D" w:rsidRDefault="0000714B" w:rsidP="00CB4A9D">
      <w:pPr>
        <w:spacing w:before="1"/>
        <w:rPr>
          <w:rFonts w:ascii="Garamond" w:eastAsia="Garamond" w:hAnsi="Garamond" w:cs="Garamond"/>
          <w:sz w:val="18"/>
          <w:szCs w:val="18"/>
        </w:rPr>
      </w:pPr>
    </w:p>
    <w:p w14:paraId="6859DE9E" w14:textId="47BF00D8" w:rsidR="0000714B" w:rsidRDefault="001C4945" w:rsidP="00CB4A9D">
      <w:pPr>
        <w:pStyle w:val="BodyText"/>
        <w:spacing w:line="360" w:lineRule="auto"/>
        <w:ind w:left="0" w:right="19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Quality Assurance &amp; HIPAA Compliance.</w:t>
      </w:r>
      <w:r w:rsidRPr="00F2180D">
        <w:rPr>
          <w:b/>
          <w:sz w:val="18"/>
          <w:szCs w:val="18"/>
        </w:rPr>
        <w:t xml:space="preserve">  </w:t>
      </w:r>
      <w:r w:rsidRPr="00F2180D">
        <w:rPr>
          <w:rFonts w:ascii="CeraGR-Regular" w:eastAsiaTheme="minorHAnsi" w:hAnsi="CeraGR-Regular" w:cs="CeraGR-Regular"/>
          <w:color w:val="474746"/>
          <w:sz w:val="18"/>
          <w:szCs w:val="18"/>
        </w:rPr>
        <w:t xml:space="preserve">To ensure clients are receiving quality of service indicative of McLaughlin Young, providers may be asked to complete quality assurance measures.  As an Affiliate Business Associate, </w:t>
      </w:r>
      <w:r w:rsidR="009D6094">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roviders are required to abide by privacy rules and public health guidance as indicated by the U.S. Department of Health and Human Services (</w:t>
      </w:r>
      <w:r w:rsidR="00D92FCB">
        <w:rPr>
          <w:rFonts w:ascii="CeraGR-Regular" w:eastAsiaTheme="minorHAnsi" w:hAnsi="CeraGR-Regular" w:cs="CeraGR-Regular"/>
          <w:color w:val="474746"/>
          <w:sz w:val="18"/>
          <w:szCs w:val="18"/>
        </w:rPr>
        <w:t>D</w:t>
      </w:r>
      <w:r w:rsidRPr="00F2180D">
        <w:rPr>
          <w:rFonts w:ascii="CeraGR-Regular" w:eastAsiaTheme="minorHAnsi" w:hAnsi="CeraGR-Regular" w:cs="CeraGR-Regular"/>
          <w:color w:val="474746"/>
          <w:sz w:val="18"/>
          <w:szCs w:val="18"/>
        </w:rPr>
        <w:t>HHS) Office for Civil Rights</w:t>
      </w:r>
      <w:r w:rsidR="00D92FCB">
        <w:rPr>
          <w:rFonts w:ascii="CeraGR-Regular" w:eastAsiaTheme="minorHAnsi" w:hAnsi="CeraGR-Regular" w:cs="CeraGR-Regular"/>
          <w:color w:val="474746"/>
          <w:sz w:val="18"/>
          <w:szCs w:val="18"/>
        </w:rPr>
        <w:t xml:space="preserve"> (OCR)</w:t>
      </w:r>
      <w:r w:rsidRPr="00F2180D">
        <w:rPr>
          <w:rFonts w:ascii="CeraGR-Regular" w:eastAsiaTheme="minorHAnsi" w:hAnsi="CeraGR-Regular" w:cs="CeraGR-Regular"/>
          <w:color w:val="474746"/>
          <w:sz w:val="18"/>
          <w:szCs w:val="18"/>
        </w:rPr>
        <w:t>. These safety measures are specifically identified within the Health Insurance Portability and Accountability Act of 1996 (HIPAA), the HITECH Act, and the HIPAA Omnibus Rule. Please maintain records in compliance with HIPAA standards and state authority guidelines.</w:t>
      </w:r>
    </w:p>
    <w:p w14:paraId="5ABE3D92" w14:textId="77777777" w:rsidR="00614D5F" w:rsidRPr="00614D5F" w:rsidRDefault="00614D5F" w:rsidP="00CB4A9D">
      <w:pPr>
        <w:pStyle w:val="BodyText"/>
        <w:spacing w:line="360" w:lineRule="auto"/>
        <w:ind w:left="0" w:right="190" w:firstLine="0"/>
        <w:rPr>
          <w:rFonts w:ascii="CeraGR-Regular" w:eastAsiaTheme="minorHAnsi" w:hAnsi="CeraGR-Regular" w:cs="CeraGR-Regular"/>
          <w:color w:val="474746"/>
          <w:sz w:val="16"/>
          <w:szCs w:val="16"/>
        </w:rPr>
      </w:pPr>
    </w:p>
    <w:p w14:paraId="4F4CF2A3" w14:textId="21D861BF" w:rsidR="0000714B" w:rsidRPr="00F2180D" w:rsidRDefault="001C4945" w:rsidP="00CB4A9D">
      <w:pPr>
        <w:pStyle w:val="BodyText"/>
        <w:spacing w:line="360" w:lineRule="auto"/>
        <w:ind w:left="0" w:right="123"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Also, to protect the privacy of the client, </w:t>
      </w:r>
      <w:r w:rsidRPr="00A46708">
        <w:rPr>
          <w:rFonts w:ascii="CeraGR-Regular" w:eastAsiaTheme="minorHAnsi" w:hAnsi="CeraGR-Regular" w:cs="CeraGR-Regular"/>
          <w:color w:val="474746"/>
          <w:sz w:val="18"/>
          <w:szCs w:val="18"/>
          <w:u w:val="single"/>
        </w:rPr>
        <w:t>do not email any form or document with personal health information (PHI) unless it is encrypted and password protected</w:t>
      </w:r>
      <w:r w:rsidRPr="00F2180D">
        <w:rPr>
          <w:rFonts w:ascii="CeraGR-Regular" w:eastAsiaTheme="minorHAnsi" w:hAnsi="CeraGR-Regular" w:cs="CeraGR-Regular"/>
          <w:color w:val="474746"/>
          <w:sz w:val="18"/>
          <w:szCs w:val="18"/>
        </w:rPr>
        <w:t xml:space="preserve"> according to HIPAA compliance standards. Please click on the following link for more information: </w:t>
      </w:r>
      <w:hyperlink r:id="rId16" w:history="1">
        <w:r w:rsidRPr="009D6094">
          <w:rPr>
            <w:rStyle w:val="Hyperlink"/>
            <w:rFonts w:ascii="CeraGR-Regular" w:eastAsiaTheme="minorHAnsi" w:hAnsi="CeraGR-Regular" w:cs="CeraGR-Regular"/>
            <w:sz w:val="18"/>
            <w:szCs w:val="18"/>
          </w:rPr>
          <w:t>Understanding HIPAA</w:t>
        </w:r>
      </w:hyperlink>
      <w:r w:rsidR="00170CAE" w:rsidRPr="00F2180D">
        <w:rPr>
          <w:rFonts w:ascii="CeraGR-Regular" w:eastAsiaTheme="minorHAnsi" w:hAnsi="CeraGR-Regular" w:cs="CeraGR-Regular"/>
          <w:color w:val="474746"/>
          <w:sz w:val="18"/>
          <w:szCs w:val="18"/>
        </w:rPr>
        <w:t xml:space="preserve">. </w:t>
      </w:r>
    </w:p>
    <w:p w14:paraId="560546EF" w14:textId="77777777" w:rsidR="00CF04F3" w:rsidRPr="00F2180D" w:rsidRDefault="00CF04F3" w:rsidP="00CB4A9D">
      <w:pPr>
        <w:pStyle w:val="BodyText"/>
        <w:spacing w:line="360" w:lineRule="auto"/>
        <w:ind w:left="0" w:right="123" w:firstLine="0"/>
        <w:rPr>
          <w:rFonts w:ascii="CeraGR-Regular" w:eastAsiaTheme="minorHAnsi" w:hAnsi="CeraGR-Regular" w:cs="CeraGR-Regular"/>
          <w:color w:val="6D6E71"/>
          <w:sz w:val="18"/>
          <w:szCs w:val="18"/>
        </w:rPr>
      </w:pPr>
    </w:p>
    <w:p w14:paraId="007D8FE8" w14:textId="78A20B87" w:rsidR="00A46708" w:rsidRDefault="001C4945" w:rsidP="00CB4A9D">
      <w:pPr>
        <w:pStyle w:val="BodyText"/>
        <w:spacing w:line="360" w:lineRule="auto"/>
        <w:ind w:left="0" w:right="161"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Additional Trainings &amp; Certifications.</w:t>
      </w:r>
      <w:r w:rsidRPr="00F2180D">
        <w:rPr>
          <w:b/>
          <w:spacing w:val="70"/>
          <w:sz w:val="18"/>
          <w:szCs w:val="18"/>
        </w:rPr>
        <w:t xml:space="preserve"> </w:t>
      </w:r>
      <w:r w:rsidRPr="00F2180D">
        <w:rPr>
          <w:rFonts w:ascii="CeraGR-Regular" w:eastAsiaTheme="minorHAnsi" w:hAnsi="CeraGR-Regular" w:cs="CeraGR-Regular"/>
          <w:color w:val="474746"/>
          <w:sz w:val="18"/>
          <w:szCs w:val="18"/>
        </w:rPr>
        <w:t xml:space="preserve">In addition to the on-boarding process, </w:t>
      </w:r>
      <w:r w:rsidR="009D6094">
        <w:rPr>
          <w:rFonts w:ascii="CeraGR-Regular" w:eastAsiaTheme="minorHAnsi" w:hAnsi="CeraGR-Regular" w:cs="CeraGR-Regular"/>
          <w:color w:val="474746"/>
          <w:sz w:val="18"/>
          <w:szCs w:val="18"/>
        </w:rPr>
        <w:t>providers</w:t>
      </w:r>
      <w:r w:rsidRPr="00F2180D">
        <w:rPr>
          <w:rFonts w:ascii="CeraGR-Regular" w:eastAsiaTheme="minorHAnsi" w:hAnsi="CeraGR-Regular" w:cs="CeraGR-Regular"/>
          <w:color w:val="474746"/>
          <w:sz w:val="18"/>
          <w:szCs w:val="18"/>
        </w:rPr>
        <w:t xml:space="preserve"> may </w:t>
      </w:r>
      <w:r w:rsidR="00C62599">
        <w:rPr>
          <w:rFonts w:ascii="CeraGR-Regular" w:eastAsiaTheme="minorHAnsi" w:hAnsi="CeraGR-Regular" w:cs="CeraGR-Regular"/>
          <w:color w:val="474746"/>
          <w:sz w:val="18"/>
          <w:szCs w:val="18"/>
        </w:rPr>
        <w:t>choose</w:t>
      </w:r>
      <w:r w:rsidRPr="00F2180D">
        <w:rPr>
          <w:rFonts w:ascii="CeraGR-Regular" w:eastAsiaTheme="minorHAnsi" w:hAnsi="CeraGR-Regular" w:cs="CeraGR-Regular"/>
          <w:color w:val="474746"/>
          <w:sz w:val="18"/>
          <w:szCs w:val="18"/>
        </w:rPr>
        <w:t xml:space="preserve"> to complete additional trainings. These trainings are not funded or reimbursed by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EAP</w:t>
      </w:r>
      <w:r w:rsidR="009D6094">
        <w:rPr>
          <w:rFonts w:ascii="CeraGR-Regular" w:eastAsiaTheme="minorHAnsi" w:hAnsi="CeraGR-Regular" w:cs="CeraGR-Regular"/>
          <w:color w:val="474746"/>
          <w:sz w:val="18"/>
          <w:szCs w:val="18"/>
        </w:rPr>
        <w:t xml:space="preserve"> and</w:t>
      </w:r>
      <w:r w:rsidRPr="00F2180D">
        <w:rPr>
          <w:rFonts w:ascii="CeraGR-Regular" w:eastAsiaTheme="minorHAnsi" w:hAnsi="CeraGR-Regular" w:cs="CeraGR-Regular"/>
          <w:color w:val="474746"/>
          <w:sz w:val="18"/>
          <w:szCs w:val="18"/>
        </w:rPr>
        <w:t xml:space="preserve"> do not guarantee an increased number of referrals. </w:t>
      </w:r>
      <w:r w:rsidR="00564C42">
        <w:rPr>
          <w:rFonts w:ascii="CeraGR-Regular" w:eastAsiaTheme="minorHAnsi" w:hAnsi="CeraGR-Regular" w:cs="CeraGR-Regular"/>
          <w:color w:val="474746"/>
          <w:sz w:val="18"/>
          <w:szCs w:val="18"/>
        </w:rPr>
        <w:t>Below is a non-exhaustive</w:t>
      </w:r>
      <w:r w:rsidRPr="00F2180D">
        <w:rPr>
          <w:rFonts w:ascii="CeraGR-Regular" w:eastAsiaTheme="minorHAnsi" w:hAnsi="CeraGR-Regular" w:cs="CeraGR-Regular"/>
          <w:color w:val="474746"/>
          <w:sz w:val="18"/>
          <w:szCs w:val="18"/>
        </w:rPr>
        <w:t xml:space="preserve"> list of specific trainings or certifications.</w:t>
      </w:r>
    </w:p>
    <w:p w14:paraId="69D5E5DC" w14:textId="77777777" w:rsidR="00A46708" w:rsidRDefault="00A46708" w:rsidP="0069143C">
      <w:pPr>
        <w:pStyle w:val="BodyText"/>
        <w:spacing w:line="360" w:lineRule="auto"/>
        <w:ind w:left="720" w:right="161" w:firstLine="0"/>
        <w:rPr>
          <w:rFonts w:ascii="CeraGR-Regular" w:eastAsiaTheme="minorHAnsi" w:hAnsi="CeraGR-Regular" w:cs="CeraGR-Regular"/>
          <w:i/>
          <w:color w:val="474746"/>
          <w:sz w:val="18"/>
          <w:szCs w:val="18"/>
        </w:rPr>
      </w:pPr>
    </w:p>
    <w:p w14:paraId="4A58F7B9" w14:textId="76E9C027" w:rsidR="0000714B" w:rsidRPr="0069143C" w:rsidRDefault="001C4945" w:rsidP="0069143C">
      <w:pPr>
        <w:pStyle w:val="BodyText"/>
        <w:spacing w:line="360" w:lineRule="auto"/>
        <w:ind w:left="720" w:right="161" w:firstLine="0"/>
        <w:rPr>
          <w:rStyle w:val="Hyperlink"/>
          <w:rFonts w:ascii="CeraGR-Regular" w:eastAsiaTheme="minorHAnsi" w:hAnsi="CeraGR-Regular" w:cs="CeraGR-Regular"/>
          <w:color w:val="2E8989"/>
          <w:sz w:val="18"/>
          <w:szCs w:val="18"/>
        </w:rPr>
      </w:pPr>
      <w:r w:rsidRPr="00F2180D">
        <w:rPr>
          <w:rFonts w:ascii="CeraGR-Regular" w:eastAsiaTheme="minorHAnsi" w:hAnsi="CeraGR-Regular" w:cs="CeraGR-Regular"/>
          <w:i/>
          <w:color w:val="474746"/>
          <w:sz w:val="18"/>
          <w:szCs w:val="18"/>
        </w:rPr>
        <w:t>CEAP</w:t>
      </w:r>
      <w:r w:rsidRPr="00F2180D">
        <w:rPr>
          <w:rFonts w:ascii="CeraGR-Regular" w:eastAsiaTheme="minorHAnsi" w:hAnsi="CeraGR-Regular" w:cs="CeraGR-Regular"/>
          <w:color w:val="474746"/>
          <w:sz w:val="18"/>
          <w:szCs w:val="18"/>
        </w:rPr>
        <w:t>. A Certified Employee Assistance Professional (CEAP) is a clinically licensed professional who has earned the only credential that represents the employee assistance profession. The CEAP has proven mastery of the EA practice and professional standards. In additi</w:t>
      </w:r>
      <w:r w:rsidR="002463D2" w:rsidRPr="00F2180D">
        <w:rPr>
          <w:rFonts w:ascii="CeraGR-Regular" w:eastAsiaTheme="minorHAnsi" w:hAnsi="CeraGR-Regular" w:cs="CeraGR-Regular"/>
          <w:color w:val="474746"/>
          <w:sz w:val="18"/>
          <w:szCs w:val="18"/>
        </w:rPr>
        <w:t>on, the</w:t>
      </w:r>
      <w:r w:rsidRPr="00F2180D">
        <w:rPr>
          <w:rFonts w:ascii="CeraGR-Regular" w:eastAsiaTheme="minorHAnsi" w:hAnsi="CeraGR-Regular" w:cs="CeraGR-Regular"/>
          <w:color w:val="474746"/>
          <w:sz w:val="18"/>
          <w:szCs w:val="18"/>
        </w:rPr>
        <w:t xml:space="preserve"> CEAP adheres to a professional </w:t>
      </w:r>
      <w:r w:rsidR="0069143C">
        <w:rPr>
          <w:rFonts w:ascii="CeraGR-Regular" w:eastAsiaTheme="minorHAnsi" w:hAnsi="CeraGR-Regular" w:cs="CeraGR-Regular"/>
          <w:color w:val="474746"/>
          <w:sz w:val="18"/>
          <w:szCs w:val="18"/>
        </w:rPr>
        <w:t xml:space="preserve">code of conduct, including ethics, to provide the highest standards in the delivery of employee assistance services. Please click on the following link for more </w:t>
      </w:r>
      <w:r w:rsidR="0069143C" w:rsidRPr="0069143C">
        <w:rPr>
          <w:rFonts w:ascii="CeraGR-Regular" w:eastAsiaTheme="minorHAnsi" w:hAnsi="CeraGR-Regular" w:cs="CeraGR-Regular"/>
          <w:color w:val="474746"/>
          <w:sz w:val="18"/>
          <w:szCs w:val="18"/>
        </w:rPr>
        <w:t xml:space="preserve">information: </w:t>
      </w:r>
      <w:hyperlink r:id="rId17">
        <w:r w:rsidR="0069143C" w:rsidRPr="00DA61A2">
          <w:rPr>
            <w:rStyle w:val="Hyperlink"/>
            <w:rFonts w:ascii="CeraGR-Regular" w:eastAsiaTheme="minorHAnsi" w:hAnsi="CeraGR-Regular" w:cs="CeraGR-Regular"/>
            <w:color w:val="259292"/>
            <w:sz w:val="18"/>
            <w:szCs w:val="18"/>
          </w:rPr>
          <w:t>Becoming a CEAP</w:t>
        </w:r>
      </w:hyperlink>
    </w:p>
    <w:p w14:paraId="52243FA9" w14:textId="77777777" w:rsidR="0069143C" w:rsidRPr="0069143C" w:rsidRDefault="0069143C" w:rsidP="0069143C">
      <w:pPr>
        <w:pStyle w:val="BodyText"/>
        <w:spacing w:line="360" w:lineRule="auto"/>
        <w:ind w:left="720" w:right="161" w:firstLine="0"/>
        <w:rPr>
          <w:rFonts w:ascii="CeraGR-Regular" w:eastAsiaTheme="minorHAnsi" w:hAnsi="CeraGR-Regular" w:cs="CeraGR-Regular"/>
          <w:color w:val="474746"/>
          <w:sz w:val="18"/>
          <w:szCs w:val="18"/>
        </w:rPr>
      </w:pPr>
    </w:p>
    <w:p w14:paraId="53AB0CDC" w14:textId="2471FB91" w:rsidR="0000714B" w:rsidRPr="00F2180D" w:rsidRDefault="001C4945" w:rsidP="0069143C">
      <w:pPr>
        <w:pStyle w:val="BodyText"/>
        <w:spacing w:line="360" w:lineRule="auto"/>
        <w:ind w:left="720" w:right="183" w:firstLine="0"/>
        <w:rPr>
          <w:rFonts w:ascii="CeraGR-Regular" w:eastAsiaTheme="minorHAnsi" w:hAnsi="CeraGR-Regular" w:cs="CeraGR-Regular"/>
          <w:color w:val="6D6E71"/>
          <w:sz w:val="18"/>
          <w:szCs w:val="18"/>
        </w:rPr>
      </w:pPr>
      <w:r w:rsidRPr="0069143C">
        <w:rPr>
          <w:rFonts w:ascii="CeraGR-Regular" w:eastAsiaTheme="minorHAnsi" w:hAnsi="CeraGR-Regular" w:cs="CeraGR-Regular"/>
          <w:i/>
          <w:color w:val="474746"/>
          <w:sz w:val="18"/>
          <w:szCs w:val="18"/>
        </w:rPr>
        <w:t>SAP</w:t>
      </w:r>
      <w:r w:rsidRPr="0069143C">
        <w:rPr>
          <w:rFonts w:ascii="CeraGR-Regular" w:eastAsiaTheme="minorHAnsi" w:hAnsi="CeraGR-Regular" w:cs="CeraGR-Regular"/>
          <w:color w:val="474746"/>
          <w:sz w:val="18"/>
          <w:szCs w:val="18"/>
        </w:rPr>
        <w:t>.  A Substance</w:t>
      </w:r>
      <w:r w:rsidRPr="00F2180D">
        <w:rPr>
          <w:rFonts w:ascii="CeraGR-Regular" w:eastAsiaTheme="minorHAnsi" w:hAnsi="CeraGR-Regular" w:cs="CeraGR-Regular"/>
          <w:color w:val="474746"/>
          <w:sz w:val="18"/>
          <w:szCs w:val="18"/>
        </w:rPr>
        <w:t xml:space="preserve"> Abuse Professional is an advanced area of prac</w:t>
      </w:r>
      <w:r w:rsidR="00704F9F" w:rsidRPr="00F2180D">
        <w:rPr>
          <w:rFonts w:ascii="CeraGR-Regular" w:eastAsiaTheme="minorHAnsi" w:hAnsi="CeraGR-Regular" w:cs="CeraGR-Regular"/>
          <w:color w:val="474746"/>
          <w:sz w:val="18"/>
          <w:szCs w:val="18"/>
        </w:rPr>
        <w:t xml:space="preserve">tice for EA professionals </w:t>
      </w:r>
      <w:r w:rsidR="00564C42">
        <w:rPr>
          <w:rFonts w:ascii="CeraGR-Regular" w:eastAsiaTheme="minorHAnsi" w:hAnsi="CeraGR-Regular" w:cs="CeraGR-Regular"/>
          <w:color w:val="474746"/>
          <w:sz w:val="18"/>
          <w:szCs w:val="18"/>
        </w:rPr>
        <w:t>whic</w:t>
      </w:r>
      <w:r w:rsidR="00704F9F" w:rsidRPr="00F2180D">
        <w:rPr>
          <w:rFonts w:ascii="CeraGR-Regular" w:eastAsiaTheme="minorHAnsi" w:hAnsi="CeraGR-Regular" w:cs="CeraGR-Regular"/>
          <w:color w:val="474746"/>
          <w:sz w:val="18"/>
          <w:szCs w:val="18"/>
        </w:rPr>
        <w:t>h</w:t>
      </w:r>
      <w:r w:rsidR="002463D2" w:rsidRPr="00F2180D">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involves provi</w:t>
      </w:r>
      <w:r w:rsidR="002463D2" w:rsidRPr="00F2180D">
        <w:rPr>
          <w:rFonts w:ascii="CeraGR-Regular" w:eastAsiaTheme="minorHAnsi" w:hAnsi="CeraGR-Regular" w:cs="CeraGR-Regular"/>
          <w:color w:val="474746"/>
          <w:sz w:val="18"/>
          <w:szCs w:val="18"/>
        </w:rPr>
        <w:t>ding services as defined by the</w:t>
      </w:r>
      <w:r w:rsidRPr="00F2180D">
        <w:rPr>
          <w:rFonts w:ascii="CeraGR-Regular" w:eastAsiaTheme="minorHAnsi" w:hAnsi="CeraGR-Regular" w:cs="CeraGR-Regular"/>
          <w:color w:val="474746"/>
          <w:sz w:val="18"/>
          <w:szCs w:val="18"/>
        </w:rPr>
        <w:t xml:space="preserve"> U.S. Department of Transportation regulations. Please click </w:t>
      </w:r>
      <w:r w:rsidR="00704F9F" w:rsidRPr="00F2180D">
        <w:rPr>
          <w:rFonts w:ascii="CeraGR-Regular" w:eastAsiaTheme="minorHAnsi" w:hAnsi="CeraGR-Regular" w:cs="CeraGR-Regular"/>
          <w:color w:val="474746"/>
          <w:sz w:val="18"/>
          <w:szCs w:val="18"/>
        </w:rPr>
        <w:t xml:space="preserve">on the </w:t>
      </w:r>
      <w:r w:rsidRPr="00F2180D">
        <w:rPr>
          <w:rFonts w:ascii="CeraGR-Regular" w:eastAsiaTheme="minorHAnsi" w:hAnsi="CeraGR-Regular" w:cs="CeraGR-Regular"/>
          <w:color w:val="474746"/>
          <w:sz w:val="18"/>
          <w:szCs w:val="18"/>
        </w:rPr>
        <w:t xml:space="preserve">following link for more information: </w:t>
      </w:r>
      <w:hyperlink r:id="rId18">
        <w:r w:rsidRPr="00F2180D">
          <w:rPr>
            <w:rStyle w:val="Hyperlink"/>
            <w:rFonts w:ascii="CeraGR-Regular" w:eastAsiaTheme="minorHAnsi" w:hAnsi="CeraGR-Regular" w:cs="CeraGR-Regular"/>
            <w:color w:val="2E8989"/>
            <w:sz w:val="18"/>
            <w:szCs w:val="18"/>
          </w:rPr>
          <w:t>Becoming a SAP</w:t>
        </w:r>
      </w:hyperlink>
    </w:p>
    <w:p w14:paraId="64194549" w14:textId="77777777" w:rsidR="0000714B" w:rsidRPr="00F2180D" w:rsidRDefault="0000714B" w:rsidP="0069143C">
      <w:pPr>
        <w:spacing w:line="360" w:lineRule="auto"/>
        <w:rPr>
          <w:rFonts w:ascii="CeraGR-Regular" w:hAnsi="CeraGR-Regular" w:cs="CeraGR-Regular"/>
          <w:color w:val="6D6E71"/>
          <w:sz w:val="18"/>
          <w:szCs w:val="18"/>
        </w:rPr>
      </w:pPr>
    </w:p>
    <w:p w14:paraId="3883FAE7" w14:textId="77777777" w:rsidR="0000714B" w:rsidRPr="00F2180D" w:rsidRDefault="001C4945" w:rsidP="0069143C">
      <w:pPr>
        <w:pStyle w:val="BodyText"/>
        <w:spacing w:line="360" w:lineRule="auto"/>
        <w:ind w:left="720" w:right="131" w:firstLine="0"/>
        <w:rPr>
          <w:rFonts w:ascii="CeraGR-Regular" w:eastAsiaTheme="minorHAnsi" w:hAnsi="CeraGR-Regular" w:cs="CeraGR-Regular"/>
          <w:color w:val="6D6E71"/>
          <w:sz w:val="18"/>
          <w:szCs w:val="18"/>
        </w:rPr>
      </w:pPr>
      <w:r w:rsidRPr="00F2180D">
        <w:rPr>
          <w:rFonts w:ascii="CeraGR-Regular" w:eastAsiaTheme="minorHAnsi" w:hAnsi="CeraGR-Regular" w:cs="CeraGR-Regular"/>
          <w:i/>
          <w:color w:val="474746"/>
          <w:sz w:val="18"/>
          <w:szCs w:val="18"/>
        </w:rPr>
        <w:t>SBIRT Training</w:t>
      </w:r>
      <w:r w:rsidRPr="00F2180D">
        <w:rPr>
          <w:rFonts w:ascii="CeraGR-Regular" w:eastAsiaTheme="minorHAnsi" w:hAnsi="CeraGR-Regular" w:cs="CeraGR-Regular"/>
          <w:color w:val="474746"/>
          <w:sz w:val="18"/>
          <w:szCs w:val="18"/>
        </w:rPr>
        <w:t>.  Clinical skills training for substance use problems. If you’d like to improve your clinical skills in screening, brief interventions, and referral to treatment for substance use problems, click on the following link:</w:t>
      </w:r>
      <w:r w:rsidRPr="00F2180D">
        <w:rPr>
          <w:rFonts w:ascii="CeraGR-Regular" w:eastAsiaTheme="minorHAnsi" w:hAnsi="CeraGR-Regular" w:cs="CeraGR-Regular"/>
          <w:color w:val="6D6E71"/>
          <w:sz w:val="18"/>
          <w:szCs w:val="18"/>
        </w:rPr>
        <w:t xml:space="preserve"> </w:t>
      </w:r>
      <w:hyperlink r:id="rId19">
        <w:r w:rsidRPr="00F2180D">
          <w:rPr>
            <w:rStyle w:val="Hyperlink"/>
            <w:rFonts w:ascii="CeraGR-Regular" w:eastAsiaTheme="minorHAnsi" w:hAnsi="CeraGR-Regular" w:cs="CeraGR-Regular"/>
            <w:color w:val="2E8989"/>
            <w:sz w:val="18"/>
            <w:szCs w:val="18"/>
          </w:rPr>
          <w:t>Learn more</w:t>
        </w:r>
      </w:hyperlink>
      <w:r w:rsidRPr="00F2180D">
        <w:rPr>
          <w:rStyle w:val="Hyperlink"/>
          <w:rFonts w:ascii="CeraGR-Regular" w:eastAsiaTheme="minorHAnsi" w:hAnsi="CeraGR-Regular" w:cs="CeraGR-Regular"/>
          <w:color w:val="2E8989"/>
          <w:sz w:val="18"/>
          <w:szCs w:val="18"/>
        </w:rPr>
        <w:t xml:space="preserve"> </w:t>
      </w:r>
      <w:hyperlink r:id="rId20">
        <w:r w:rsidRPr="00F2180D">
          <w:rPr>
            <w:rStyle w:val="Hyperlink"/>
            <w:rFonts w:ascii="CeraGR-Regular" w:eastAsiaTheme="minorHAnsi" w:hAnsi="CeraGR-Regular" w:cs="CeraGR-Regular"/>
            <w:color w:val="2E8989"/>
            <w:sz w:val="18"/>
            <w:szCs w:val="18"/>
          </w:rPr>
          <w:t xml:space="preserve"> about SBIRT Training</w:t>
        </w:r>
      </w:hyperlink>
    </w:p>
    <w:p w14:paraId="3A3D53A6" w14:textId="77777777" w:rsidR="0000714B" w:rsidRPr="00F2180D" w:rsidRDefault="0000714B" w:rsidP="00CF04F3">
      <w:pPr>
        <w:spacing w:before="6" w:line="360" w:lineRule="auto"/>
        <w:rPr>
          <w:rFonts w:ascii="CeraGR-Regular" w:hAnsi="CeraGR-Regular" w:cs="CeraGR-Regular"/>
          <w:color w:val="6D6E71"/>
          <w:sz w:val="18"/>
          <w:szCs w:val="18"/>
        </w:rPr>
      </w:pPr>
    </w:p>
    <w:p w14:paraId="5DBED813" w14:textId="271EAED4" w:rsidR="0000714B" w:rsidRPr="00F2180D" w:rsidRDefault="001C4945" w:rsidP="00CA28B0">
      <w:pPr>
        <w:pStyle w:val="BodyText"/>
        <w:spacing w:before="74" w:line="360" w:lineRule="auto"/>
        <w:ind w:left="720" w:right="176" w:firstLine="0"/>
        <w:rPr>
          <w:rFonts w:ascii="CeraGR-Regular" w:eastAsiaTheme="minorHAnsi" w:hAnsi="CeraGR-Regular" w:cs="CeraGR-Regular"/>
          <w:color w:val="6D6E71"/>
          <w:sz w:val="18"/>
          <w:szCs w:val="18"/>
          <w:u w:val="single"/>
        </w:rPr>
      </w:pPr>
      <w:r w:rsidRPr="00F2180D">
        <w:rPr>
          <w:rFonts w:ascii="CeraGR-Regular" w:eastAsiaTheme="minorHAnsi" w:hAnsi="CeraGR-Regular" w:cs="CeraGR-Regular"/>
          <w:i/>
          <w:color w:val="474746"/>
          <w:sz w:val="18"/>
          <w:szCs w:val="18"/>
        </w:rPr>
        <w:t>EAP Critical Incident Response Training</w:t>
      </w:r>
      <w:r w:rsidRPr="00F2180D">
        <w:rPr>
          <w:rFonts w:ascii="CeraGR-Regular" w:eastAsiaTheme="minorHAnsi" w:hAnsi="CeraGR-Regular" w:cs="CeraGR-Regular"/>
          <w:color w:val="474746"/>
          <w:sz w:val="18"/>
          <w:szCs w:val="18"/>
        </w:rPr>
        <w:t xml:space="preserve">.  This training is approved by EAPA and is based on a multi systemic resiliency approach for EAP response to critical incidents within the workplace. It includes EAP best practices and has moved beyond the Mitchell model to incorporate resiliency into response. Please click on the following link for more information:  </w:t>
      </w:r>
      <w:hyperlink r:id="rId21" w:history="1">
        <w:r w:rsidR="00A75CBC" w:rsidRPr="00A75CBC">
          <w:rPr>
            <w:rStyle w:val="Hyperlink"/>
            <w:rFonts w:ascii="CeraGR-Regular" w:eastAsiaTheme="minorHAnsi" w:hAnsi="CeraGR-Regular" w:cs="CeraGR-Regular"/>
            <w:sz w:val="18"/>
            <w:szCs w:val="18"/>
          </w:rPr>
          <w:t>EAP Critical Incident Response: The Multi-Systemic Resiliency Approach</w:t>
        </w:r>
      </w:hyperlink>
      <w:r w:rsidRPr="00F2180D">
        <w:rPr>
          <w:rFonts w:ascii="CeraGR-Regular" w:eastAsiaTheme="minorHAnsi" w:hAnsi="CeraGR-Regular" w:cs="CeraGR-Regular"/>
          <w:color w:val="6D6E71"/>
          <w:sz w:val="18"/>
          <w:szCs w:val="18"/>
        </w:rPr>
        <w:t xml:space="preserve">. </w:t>
      </w:r>
      <w:r w:rsidRPr="00F2180D">
        <w:rPr>
          <w:rFonts w:ascii="CeraGR-Regular" w:eastAsiaTheme="minorHAnsi" w:hAnsi="CeraGR-Regular" w:cs="CeraGR-Regular"/>
          <w:color w:val="474746"/>
          <w:sz w:val="18"/>
          <w:szCs w:val="18"/>
        </w:rPr>
        <w:t>You can also learn more about critical incident stress at the following</w:t>
      </w:r>
      <w:r w:rsidR="00CA28B0" w:rsidRPr="00F2180D">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 xml:space="preserve">links: </w:t>
      </w:r>
      <w:hyperlink r:id="rId22">
        <w:r w:rsidRPr="00F2180D">
          <w:rPr>
            <w:rStyle w:val="Hyperlink"/>
            <w:rFonts w:ascii="CeraGR-Regular" w:eastAsiaTheme="minorHAnsi" w:hAnsi="CeraGR-Regular" w:cs="CeraGR-Regular"/>
            <w:color w:val="2E8989"/>
            <w:sz w:val="18"/>
            <w:szCs w:val="18"/>
          </w:rPr>
          <w:t>The International Critical Incident Stress Foundation</w:t>
        </w:r>
        <w:r w:rsidRPr="00F2180D">
          <w:rPr>
            <w:rFonts w:ascii="CeraGR-Regular" w:eastAsiaTheme="minorHAnsi" w:hAnsi="CeraGR-Regular" w:cs="CeraGR-Regular"/>
            <w:color w:val="2E8989"/>
            <w:sz w:val="18"/>
            <w:szCs w:val="18"/>
            <w:u w:val="single"/>
          </w:rPr>
          <w:t xml:space="preserve"> </w:t>
        </w:r>
      </w:hyperlink>
      <w:r w:rsidRPr="00F2180D">
        <w:rPr>
          <w:rFonts w:ascii="CeraGR-Regular" w:eastAsiaTheme="minorHAnsi" w:hAnsi="CeraGR-Regular" w:cs="CeraGR-Regular"/>
          <w:color w:val="474746"/>
          <w:sz w:val="18"/>
          <w:szCs w:val="18"/>
        </w:rPr>
        <w:t>and</w:t>
      </w:r>
      <w:r w:rsidRPr="00F2180D">
        <w:rPr>
          <w:rFonts w:ascii="CeraGR-Regular" w:eastAsiaTheme="minorHAnsi" w:hAnsi="CeraGR-Regular" w:cs="CeraGR-Regular"/>
          <w:color w:val="474746"/>
          <w:sz w:val="18"/>
          <w:szCs w:val="18"/>
          <w:u w:val="single"/>
        </w:rPr>
        <w:t xml:space="preserve"> </w:t>
      </w:r>
      <w:hyperlink r:id="rId23" w:history="1">
        <w:r w:rsidRPr="00DA0404">
          <w:rPr>
            <w:rStyle w:val="Hyperlink"/>
            <w:rFonts w:ascii="CeraGR-Regular" w:eastAsiaTheme="minorHAnsi" w:hAnsi="CeraGR-Regular" w:cs="CeraGR-Regular"/>
            <w:sz w:val="18"/>
            <w:szCs w:val="18"/>
          </w:rPr>
          <w:t>Psychological First Aid</w:t>
        </w:r>
      </w:hyperlink>
      <w:r w:rsidRPr="00F2180D">
        <w:rPr>
          <w:rFonts w:ascii="CeraGR-Regular" w:eastAsiaTheme="minorHAnsi" w:hAnsi="CeraGR-Regular" w:cs="CeraGR-Regular"/>
          <w:color w:val="2E8989"/>
          <w:sz w:val="18"/>
          <w:szCs w:val="18"/>
          <w:u w:val="single"/>
        </w:rPr>
        <w:t>.</w:t>
      </w:r>
    </w:p>
    <w:p w14:paraId="7D7449C2" w14:textId="77777777" w:rsidR="0000714B" w:rsidRPr="00F2180D" w:rsidRDefault="0000714B">
      <w:pPr>
        <w:spacing w:before="6"/>
        <w:rPr>
          <w:rFonts w:ascii="Garamond" w:eastAsia="Garamond" w:hAnsi="Garamond" w:cs="Garamond"/>
          <w:sz w:val="18"/>
          <w:szCs w:val="18"/>
        </w:rPr>
      </w:pPr>
    </w:p>
    <w:p w14:paraId="713E9727" w14:textId="4A6EDF99" w:rsidR="00CA28B0" w:rsidRPr="00F2180D" w:rsidRDefault="001C4945" w:rsidP="00CB4A9D">
      <w:pPr>
        <w:pStyle w:val="BodyText"/>
        <w:spacing w:before="74" w:line="360" w:lineRule="auto"/>
        <w:ind w:left="0" w:right="24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Terms of Business Associate Agreement Termination.</w:t>
      </w:r>
      <w:r w:rsidRPr="00F2180D">
        <w:rPr>
          <w:b/>
          <w:spacing w:val="68"/>
          <w:sz w:val="18"/>
          <w:szCs w:val="18"/>
        </w:rPr>
        <w:t xml:space="preserve"> </w:t>
      </w:r>
      <w:r w:rsidRPr="00F2180D">
        <w:rPr>
          <w:rFonts w:ascii="CeraGR-Regular" w:eastAsiaTheme="minorHAnsi" w:hAnsi="CeraGR-Regular" w:cs="CeraGR-Regular"/>
          <w:color w:val="474746"/>
          <w:sz w:val="18"/>
          <w:szCs w:val="18"/>
        </w:rPr>
        <w:t xml:space="preserve">If a </w:t>
      </w:r>
      <w:r w:rsidR="009D6094">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 xml:space="preserve">rovider or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wish to terminate the signed the Business Associate Agreement, it must be done so in accordance with the signed </w:t>
      </w:r>
      <w:r w:rsidR="009D6094" w:rsidRPr="00F2180D">
        <w:rPr>
          <w:rFonts w:ascii="CeraGR-Regular" w:eastAsiaTheme="minorHAnsi" w:hAnsi="CeraGR-Regular" w:cs="CeraGR-Regular"/>
          <w:color w:val="474746"/>
          <w:sz w:val="18"/>
          <w:szCs w:val="18"/>
        </w:rPr>
        <w:t>agreement</w:t>
      </w:r>
      <w:r w:rsidRPr="00F2180D">
        <w:rPr>
          <w:rFonts w:ascii="CeraGR-Regular" w:eastAsiaTheme="minorHAnsi" w:hAnsi="CeraGR-Regular" w:cs="CeraGR-Regular"/>
          <w:color w:val="474746"/>
          <w:sz w:val="18"/>
          <w:szCs w:val="18"/>
        </w:rPr>
        <w:t xml:space="preserve">. The agreement may be terminated by either party in the event of a breach that is not corrected within thirty days following written notice thereof. The agreement may also be terminated by either party without cause at any time by providing the other party ninety days advance written notice. The agreement may be terminated immediately by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in the event the provider has his or her license or certification limited, suspended</w:t>
      </w:r>
      <w:r w:rsidR="00BD514D">
        <w:rPr>
          <w:rFonts w:ascii="CeraGR-Regular" w:eastAsiaTheme="minorHAnsi" w:hAnsi="CeraGR-Regular" w:cs="CeraGR-Regular"/>
          <w:color w:val="474746"/>
          <w:sz w:val="18"/>
          <w:szCs w:val="18"/>
        </w:rPr>
        <w:t>,</w:t>
      </w:r>
      <w:r w:rsidRPr="00F2180D">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lastRenderedPageBreak/>
        <w:t>or revoked</w:t>
      </w:r>
      <w:r w:rsidR="00BD514D">
        <w:rPr>
          <w:rFonts w:ascii="CeraGR-Regular" w:eastAsiaTheme="minorHAnsi" w:hAnsi="CeraGR-Regular" w:cs="CeraGR-Regular"/>
          <w:color w:val="474746"/>
          <w:sz w:val="18"/>
          <w:szCs w:val="18"/>
        </w:rPr>
        <w:t xml:space="preserve">; if the provider engages in unprofessional communication with clients or </w:t>
      </w:r>
      <w:r w:rsidR="00FD6744">
        <w:rPr>
          <w:rFonts w:ascii="CeraGR-Regular" w:eastAsiaTheme="minorHAnsi" w:hAnsi="CeraGR-Regular" w:cs="CeraGR-Regular"/>
          <w:color w:val="474746"/>
          <w:sz w:val="18"/>
          <w:szCs w:val="18"/>
        </w:rPr>
        <w:t>MYgroup</w:t>
      </w:r>
      <w:r w:rsidR="00BD514D">
        <w:rPr>
          <w:rFonts w:ascii="CeraGR-Regular" w:eastAsiaTheme="minorHAnsi" w:hAnsi="CeraGR-Regular" w:cs="CeraGR-Regular"/>
          <w:color w:val="474746"/>
          <w:sz w:val="18"/>
          <w:szCs w:val="18"/>
        </w:rPr>
        <w:t xml:space="preserve"> staff;</w:t>
      </w:r>
      <w:r w:rsidRPr="00F2180D">
        <w:rPr>
          <w:rFonts w:ascii="CeraGR-Regular" w:eastAsiaTheme="minorHAnsi" w:hAnsi="CeraGR-Regular" w:cs="CeraGR-Regular"/>
          <w:color w:val="474746"/>
          <w:sz w:val="18"/>
          <w:szCs w:val="18"/>
        </w:rPr>
        <w:t xml:space="preserve"> or if the provider commits a serious violation of professional ethics.</w:t>
      </w:r>
    </w:p>
    <w:p w14:paraId="0939A0CB" w14:textId="77777777" w:rsidR="00CA28B0" w:rsidRPr="00F2180D" w:rsidRDefault="00CA28B0" w:rsidP="00CB4A9D">
      <w:pPr>
        <w:pStyle w:val="BodyText"/>
        <w:spacing w:line="360" w:lineRule="auto"/>
        <w:ind w:left="0" w:right="240" w:firstLine="0"/>
        <w:rPr>
          <w:rFonts w:ascii="CeraGR-Regular" w:eastAsiaTheme="minorHAnsi" w:hAnsi="CeraGR-Regular" w:cs="CeraGR-Regular"/>
          <w:color w:val="474746"/>
          <w:sz w:val="18"/>
          <w:szCs w:val="18"/>
        </w:rPr>
      </w:pPr>
    </w:p>
    <w:p w14:paraId="02DA3556" w14:textId="77777777" w:rsidR="0000714B" w:rsidRPr="00F2180D" w:rsidRDefault="001C4945" w:rsidP="00CB4A9D">
      <w:pPr>
        <w:pStyle w:val="BodyText"/>
        <w:spacing w:line="360" w:lineRule="auto"/>
        <w:ind w:left="0" w:right="240"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If a provider wishes to terminate the Business Associate Agreement, written notice is required. Provider Management will follow up with the provider to discuss the nature of the termination and will provide a letter of acknowledgment, which also indicates the date of notification and a summary of the reason for termination.</w:t>
      </w:r>
    </w:p>
    <w:p w14:paraId="083CD074" w14:textId="77777777" w:rsidR="0000714B" w:rsidRPr="00F2180D" w:rsidRDefault="0000714B" w:rsidP="00CA28B0">
      <w:pPr>
        <w:spacing w:before="10" w:line="360" w:lineRule="auto"/>
        <w:rPr>
          <w:rFonts w:ascii="CeraGR-Regular" w:hAnsi="CeraGR-Regular" w:cs="CeraGR-Regular"/>
          <w:color w:val="474746"/>
          <w:sz w:val="18"/>
          <w:szCs w:val="18"/>
        </w:rPr>
      </w:pPr>
    </w:p>
    <w:p w14:paraId="2015AC11" w14:textId="73E8FC4F" w:rsidR="0000714B" w:rsidRPr="00337BEE" w:rsidRDefault="001C4945" w:rsidP="00CB4A9D">
      <w:pPr>
        <w:pStyle w:val="BodyText"/>
        <w:spacing w:line="360" w:lineRule="auto"/>
        <w:ind w:left="0" w:right="175"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If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wishes to terminate the Business Associate Agreement, the following will occur:</w:t>
      </w:r>
    </w:p>
    <w:p w14:paraId="7A76BBF0" w14:textId="5410ACD2" w:rsidR="009E079B" w:rsidRPr="00614D5F" w:rsidRDefault="001C4945" w:rsidP="00CB4A9D">
      <w:pPr>
        <w:pStyle w:val="BodyText"/>
        <w:numPr>
          <w:ilvl w:val="0"/>
          <w:numId w:val="5"/>
        </w:numPr>
        <w:tabs>
          <w:tab w:val="left" w:pos="2281"/>
        </w:tabs>
        <w:spacing w:line="360" w:lineRule="auto"/>
        <w:ind w:left="360" w:right="513"/>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Indications of providing lack of quality care to either a client or unprofessional interactions with</w:t>
      </w:r>
      <w:r w:rsidR="0097343C">
        <w:rPr>
          <w:rFonts w:ascii="CeraGR-Regular" w:eastAsiaTheme="minorHAnsi" w:hAnsi="CeraGR-Regular" w:cs="CeraGR-Regular"/>
          <w:color w:val="474746"/>
          <w:sz w:val="18"/>
          <w:szCs w:val="18"/>
        </w:rPr>
        <w:t xml:space="preserve"> the</w:t>
      </w:r>
      <w:r w:rsidRPr="00F2180D">
        <w:rPr>
          <w:rFonts w:ascii="CeraGR-Regular" w:eastAsiaTheme="minorHAnsi" w:hAnsi="CeraGR-Regular" w:cs="CeraGR-Regular"/>
          <w:color w:val="474746"/>
          <w:sz w:val="18"/>
          <w:szCs w:val="18"/>
        </w:rPr>
        <w:t xml:space="preserv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and staff will be noted in the </w:t>
      </w:r>
      <w:r w:rsidR="00C73146">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rovider</w:t>
      </w:r>
      <w:r w:rsidR="00C73146">
        <w:rPr>
          <w:rFonts w:ascii="CeraGR-Regular" w:eastAsiaTheme="minorHAnsi" w:hAnsi="CeraGR-Regular" w:cs="CeraGR-Regular"/>
          <w:color w:val="474746"/>
          <w:sz w:val="18"/>
          <w:szCs w:val="18"/>
        </w:rPr>
        <w:t>’</w:t>
      </w:r>
      <w:r w:rsidRPr="00F2180D">
        <w:rPr>
          <w:rFonts w:ascii="CeraGR-Regular" w:eastAsiaTheme="minorHAnsi" w:hAnsi="CeraGR-Regular" w:cs="CeraGR-Regular"/>
          <w:color w:val="474746"/>
          <w:sz w:val="18"/>
          <w:szCs w:val="18"/>
        </w:rPr>
        <w:t>s network profile.</w:t>
      </w:r>
    </w:p>
    <w:p w14:paraId="3814EAD9" w14:textId="5CB9FF37" w:rsidR="006D4323" w:rsidRPr="00F2180D" w:rsidRDefault="001C4945" w:rsidP="00CB4A9D">
      <w:pPr>
        <w:pStyle w:val="BodyText"/>
        <w:numPr>
          <w:ilvl w:val="0"/>
          <w:numId w:val="5"/>
        </w:numPr>
        <w:tabs>
          <w:tab w:val="left" w:pos="2281"/>
        </w:tabs>
        <w:spacing w:before="1" w:line="360" w:lineRule="auto"/>
        <w:ind w:left="360" w:right="24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If a client provides feedback that his/her experience was unsatisfactory,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w:t>
      </w:r>
    </w:p>
    <w:p w14:paraId="1582646C" w14:textId="69BC8405" w:rsidR="0000714B" w:rsidRPr="00F2180D" w:rsidRDefault="001C4945" w:rsidP="00CB4A9D">
      <w:pPr>
        <w:pStyle w:val="BodyText"/>
        <w:tabs>
          <w:tab w:val="left" w:pos="2281"/>
        </w:tabs>
        <w:spacing w:before="1" w:line="360" w:lineRule="auto"/>
        <w:ind w:left="360" w:right="240"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manager will follow up with the </w:t>
      </w:r>
      <w:r w:rsidR="009D6094">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rovider to obtain a full understanding of the experience</w:t>
      </w:r>
      <w:r w:rsidR="009D6094">
        <w:rPr>
          <w:rFonts w:ascii="CeraGR-Regular" w:eastAsiaTheme="minorHAnsi" w:hAnsi="CeraGR-Regular" w:cs="CeraGR-Regular"/>
          <w:color w:val="474746"/>
          <w:sz w:val="18"/>
          <w:szCs w:val="18"/>
        </w:rPr>
        <w:t xml:space="preserve"> with the </w:t>
      </w:r>
      <w:r w:rsidR="009D6094" w:rsidRPr="00F2180D">
        <w:rPr>
          <w:rFonts w:ascii="CeraGR-Regular" w:eastAsiaTheme="minorHAnsi" w:hAnsi="CeraGR-Regular" w:cs="CeraGR-Regular"/>
          <w:color w:val="474746"/>
          <w:sz w:val="18"/>
          <w:szCs w:val="18"/>
        </w:rPr>
        <w:t>client</w:t>
      </w:r>
      <w:r w:rsidRPr="00F2180D">
        <w:rPr>
          <w:rFonts w:ascii="CeraGR-Regular" w:eastAsiaTheme="minorHAnsi" w:hAnsi="CeraGR-Regular" w:cs="CeraGR-Regular"/>
          <w:color w:val="474746"/>
          <w:sz w:val="18"/>
          <w:szCs w:val="18"/>
        </w:rPr>
        <w:t>.</w:t>
      </w:r>
    </w:p>
    <w:p w14:paraId="465331B1" w14:textId="27CA7814" w:rsidR="003D6B96" w:rsidRPr="002D009A" w:rsidRDefault="001C4945" w:rsidP="00CB4A9D">
      <w:pPr>
        <w:pStyle w:val="BodyText"/>
        <w:numPr>
          <w:ilvl w:val="0"/>
          <w:numId w:val="5"/>
        </w:numPr>
        <w:tabs>
          <w:tab w:val="left" w:pos="2281"/>
        </w:tabs>
        <w:spacing w:line="360" w:lineRule="auto"/>
        <w:ind w:left="360" w:right="374"/>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If the </w:t>
      </w:r>
      <w:r w:rsidR="009D6094">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 xml:space="preserve">rovider is responsive, open to feedback, and willing to correct noted concerns, this will be documented in the </w:t>
      </w:r>
      <w:r w:rsidR="009D6094">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rovider’s network profile, and the provider’s status will remain intact.</w:t>
      </w:r>
    </w:p>
    <w:p w14:paraId="00A61E75" w14:textId="46E953C9" w:rsidR="009E079B" w:rsidRPr="00F2180D" w:rsidRDefault="00984D6B" w:rsidP="00CB4A9D">
      <w:pPr>
        <w:pStyle w:val="BodyText"/>
        <w:numPr>
          <w:ilvl w:val="0"/>
          <w:numId w:val="5"/>
        </w:numPr>
        <w:tabs>
          <w:tab w:val="left" w:pos="2281"/>
        </w:tabs>
        <w:spacing w:line="360" w:lineRule="auto"/>
        <w:ind w:left="360" w:right="107"/>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 xml:space="preserve">If the </w:t>
      </w:r>
      <w:r w:rsidR="009D6094">
        <w:rPr>
          <w:rFonts w:ascii="CeraGR-Regular" w:eastAsiaTheme="minorHAnsi" w:hAnsi="CeraGR-Regular" w:cs="CeraGR-Regular"/>
          <w:color w:val="474746"/>
          <w:sz w:val="18"/>
          <w:szCs w:val="18"/>
        </w:rPr>
        <w:t>p</w:t>
      </w:r>
      <w:r>
        <w:rPr>
          <w:rFonts w:ascii="CeraGR-Regular" w:eastAsiaTheme="minorHAnsi" w:hAnsi="CeraGR-Regular" w:cs="CeraGR-Regular"/>
          <w:color w:val="474746"/>
          <w:sz w:val="18"/>
          <w:szCs w:val="18"/>
        </w:rPr>
        <w:t>rovider is not responsive or willing to correct noted concerns, or i</w:t>
      </w:r>
      <w:r w:rsidR="001C4945" w:rsidRPr="00F2180D">
        <w:rPr>
          <w:rFonts w:ascii="CeraGR-Regular" w:eastAsiaTheme="minorHAnsi" w:hAnsi="CeraGR-Regular" w:cs="CeraGR-Regular"/>
          <w:color w:val="474746"/>
          <w:sz w:val="18"/>
          <w:szCs w:val="18"/>
        </w:rPr>
        <w:t xml:space="preserve">f there are numerous and/or repeated occurrences of difficulty with the </w:t>
      </w:r>
      <w:r w:rsidR="009D6094">
        <w:rPr>
          <w:rFonts w:ascii="CeraGR-Regular" w:eastAsiaTheme="minorHAnsi" w:hAnsi="CeraGR-Regular" w:cs="CeraGR-Regular"/>
          <w:color w:val="474746"/>
          <w:sz w:val="18"/>
          <w:szCs w:val="18"/>
        </w:rPr>
        <w:t>p</w:t>
      </w:r>
      <w:r w:rsidR="001C4945" w:rsidRPr="00F2180D">
        <w:rPr>
          <w:rFonts w:ascii="CeraGR-Regular" w:eastAsiaTheme="minorHAnsi" w:hAnsi="CeraGR-Regular" w:cs="CeraGR-Regular"/>
          <w:color w:val="474746"/>
          <w:sz w:val="18"/>
          <w:szCs w:val="18"/>
        </w:rPr>
        <w:t xml:space="preserve">rovider, unprofessional impressions, and recurring case management and/or billing issues, Provider Management will </w:t>
      </w:r>
      <w:r w:rsidR="00C73146">
        <w:rPr>
          <w:rFonts w:ascii="CeraGR-Regular" w:eastAsiaTheme="minorHAnsi" w:hAnsi="CeraGR-Regular" w:cs="CeraGR-Regular"/>
          <w:color w:val="474746"/>
          <w:sz w:val="18"/>
          <w:szCs w:val="18"/>
        </w:rPr>
        <w:t>notify</w:t>
      </w:r>
      <w:r w:rsidR="001C4945" w:rsidRPr="00F2180D">
        <w:rPr>
          <w:rFonts w:ascii="CeraGR-Regular" w:eastAsiaTheme="minorHAnsi" w:hAnsi="CeraGR-Regular" w:cs="CeraGR-Regular"/>
          <w:color w:val="474746"/>
          <w:sz w:val="18"/>
          <w:szCs w:val="18"/>
        </w:rPr>
        <w:t xml:space="preserve"> the provider verbally and in writing </w:t>
      </w:r>
      <w:r w:rsidR="00C73146">
        <w:rPr>
          <w:rFonts w:ascii="CeraGR-Regular" w:eastAsiaTheme="minorHAnsi" w:hAnsi="CeraGR-Regular" w:cs="CeraGR-Regular"/>
          <w:color w:val="474746"/>
          <w:sz w:val="18"/>
          <w:szCs w:val="18"/>
        </w:rPr>
        <w:t>that s/he is being</w:t>
      </w:r>
      <w:r w:rsidR="001C4945" w:rsidRPr="00F2180D">
        <w:rPr>
          <w:rFonts w:ascii="CeraGR-Regular" w:eastAsiaTheme="minorHAnsi" w:hAnsi="CeraGR-Regular" w:cs="CeraGR-Regular"/>
          <w:color w:val="474746"/>
          <w:sz w:val="18"/>
          <w:szCs w:val="18"/>
        </w:rPr>
        <w:t xml:space="preserve"> placed on Cautionary Standing</w:t>
      </w:r>
      <w:r w:rsidR="009E079B" w:rsidRPr="00F2180D">
        <w:rPr>
          <w:rFonts w:ascii="CeraGR-Regular" w:eastAsiaTheme="minorHAnsi" w:hAnsi="CeraGR-Regular" w:cs="CeraGR-Regular"/>
          <w:color w:val="474746"/>
          <w:sz w:val="18"/>
          <w:szCs w:val="18"/>
        </w:rPr>
        <w:t xml:space="preserve">. </w:t>
      </w:r>
    </w:p>
    <w:p w14:paraId="7FEB2918" w14:textId="15B8CC9E" w:rsidR="0000714B" w:rsidRPr="00F2180D" w:rsidRDefault="009E079B" w:rsidP="00CB4A9D">
      <w:pPr>
        <w:pStyle w:val="BodyText"/>
        <w:numPr>
          <w:ilvl w:val="0"/>
          <w:numId w:val="5"/>
        </w:numPr>
        <w:tabs>
          <w:tab w:val="left" w:pos="2281"/>
        </w:tabs>
        <w:spacing w:line="360" w:lineRule="auto"/>
        <w:ind w:left="360" w:right="107"/>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Under </w:t>
      </w:r>
      <w:r w:rsidR="00BB52F7">
        <w:rPr>
          <w:rFonts w:ascii="CeraGR-Regular" w:eastAsiaTheme="minorHAnsi" w:hAnsi="CeraGR-Regular" w:cs="CeraGR-Regular"/>
          <w:color w:val="474746"/>
          <w:sz w:val="18"/>
          <w:szCs w:val="18"/>
        </w:rPr>
        <w:t>C</w:t>
      </w:r>
      <w:r w:rsidR="001C4945" w:rsidRPr="00F2180D">
        <w:rPr>
          <w:rFonts w:ascii="CeraGR-Regular" w:eastAsiaTheme="minorHAnsi" w:hAnsi="CeraGR-Regular" w:cs="CeraGR-Regular"/>
          <w:color w:val="474746"/>
          <w:sz w:val="18"/>
          <w:szCs w:val="18"/>
        </w:rPr>
        <w:t xml:space="preserve">autionary Standing, all interactions, referrals, and feedback will be reviewed for quality assurance to determine whether the </w:t>
      </w:r>
      <w:r w:rsidR="00C16BC7">
        <w:rPr>
          <w:rFonts w:ascii="CeraGR-Regular" w:eastAsiaTheme="minorHAnsi" w:hAnsi="CeraGR-Regular" w:cs="CeraGR-Regular"/>
          <w:color w:val="474746"/>
          <w:sz w:val="18"/>
          <w:szCs w:val="18"/>
        </w:rPr>
        <w:t>p</w:t>
      </w:r>
      <w:r w:rsidR="001C4945" w:rsidRPr="00F2180D">
        <w:rPr>
          <w:rFonts w:ascii="CeraGR-Regular" w:eastAsiaTheme="minorHAnsi" w:hAnsi="CeraGR-Regular" w:cs="CeraGR-Regular"/>
          <w:color w:val="474746"/>
          <w:sz w:val="18"/>
          <w:szCs w:val="18"/>
        </w:rPr>
        <w:t>rovider is making a concerted effort to adhere to the professional business</w:t>
      </w:r>
      <w:r w:rsidR="00CA28B0" w:rsidRPr="00F2180D">
        <w:rPr>
          <w:rFonts w:ascii="CeraGR-Regular" w:eastAsiaTheme="minorHAnsi" w:hAnsi="CeraGR-Regular" w:cs="CeraGR-Regular"/>
          <w:color w:val="474746"/>
          <w:sz w:val="18"/>
          <w:szCs w:val="18"/>
        </w:rPr>
        <w:t xml:space="preserve"> </w:t>
      </w:r>
      <w:r w:rsidR="001C4945" w:rsidRPr="00F2180D">
        <w:rPr>
          <w:rFonts w:ascii="CeraGR-Regular" w:eastAsiaTheme="minorHAnsi" w:hAnsi="CeraGR-Regular" w:cs="CeraGR-Regular"/>
          <w:color w:val="474746"/>
          <w:sz w:val="18"/>
          <w:szCs w:val="18"/>
        </w:rPr>
        <w:t xml:space="preserve">practices outlined within the </w:t>
      </w:r>
      <w:r w:rsidR="00FD6744">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Provider Handbook and the Business Associate </w:t>
      </w:r>
      <w:r w:rsidR="00C73146">
        <w:rPr>
          <w:rFonts w:ascii="CeraGR-Regular" w:eastAsiaTheme="minorHAnsi" w:hAnsi="CeraGR-Regular" w:cs="CeraGR-Regular"/>
          <w:color w:val="474746"/>
          <w:sz w:val="18"/>
          <w:szCs w:val="18"/>
        </w:rPr>
        <w:t>Agreement</w:t>
      </w:r>
      <w:r w:rsidR="001C4945" w:rsidRPr="00F2180D">
        <w:rPr>
          <w:rFonts w:ascii="CeraGR-Regular" w:eastAsiaTheme="minorHAnsi" w:hAnsi="CeraGR-Regular" w:cs="CeraGR-Regular"/>
          <w:color w:val="474746"/>
          <w:sz w:val="18"/>
          <w:szCs w:val="18"/>
        </w:rPr>
        <w:t>.</w:t>
      </w:r>
    </w:p>
    <w:p w14:paraId="7B947F91" w14:textId="77777777" w:rsidR="0000714B" w:rsidRPr="00F2180D" w:rsidRDefault="001C4945" w:rsidP="00CB4A9D">
      <w:pPr>
        <w:pStyle w:val="BodyText"/>
        <w:numPr>
          <w:ilvl w:val="0"/>
          <w:numId w:val="5"/>
        </w:numPr>
        <w:tabs>
          <w:tab w:val="left" w:pos="2281"/>
        </w:tabs>
        <w:spacing w:before="2" w:line="360" w:lineRule="auto"/>
        <w:ind w:left="360" w:right="123"/>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If after 90 days the provider has demonstrated a willingness and effort to adhere to provider guidelines, they will be placed back on standard provider status and will be able to receive referrals without review.</w:t>
      </w:r>
    </w:p>
    <w:p w14:paraId="0AEEE12E" w14:textId="2D9307CF" w:rsidR="0000714B" w:rsidRPr="00F2180D" w:rsidRDefault="001C4945" w:rsidP="00CB4A9D">
      <w:pPr>
        <w:pStyle w:val="BodyText"/>
        <w:numPr>
          <w:ilvl w:val="0"/>
          <w:numId w:val="5"/>
        </w:numPr>
        <w:tabs>
          <w:tab w:val="left" w:pos="2281"/>
        </w:tabs>
        <w:spacing w:line="360" w:lineRule="auto"/>
        <w:ind w:left="360" w:right="235"/>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If after </w:t>
      </w:r>
      <w:r w:rsidR="009D6094">
        <w:rPr>
          <w:rFonts w:ascii="CeraGR-Regular" w:eastAsiaTheme="minorHAnsi" w:hAnsi="CeraGR-Regular" w:cs="CeraGR-Regular"/>
          <w:color w:val="474746"/>
          <w:sz w:val="18"/>
          <w:szCs w:val="18"/>
        </w:rPr>
        <w:t>C</w:t>
      </w:r>
      <w:r w:rsidRPr="00F2180D">
        <w:rPr>
          <w:rFonts w:ascii="CeraGR-Regular" w:eastAsiaTheme="minorHAnsi" w:hAnsi="CeraGR-Regular" w:cs="CeraGR-Regular"/>
          <w:color w:val="474746"/>
          <w:sz w:val="18"/>
          <w:szCs w:val="18"/>
        </w:rPr>
        <w:t xml:space="preserve">autionary </w:t>
      </w:r>
      <w:r w:rsidR="009D6094">
        <w:rPr>
          <w:rFonts w:ascii="CeraGR-Regular" w:eastAsiaTheme="minorHAnsi" w:hAnsi="CeraGR-Regular" w:cs="CeraGR-Regular"/>
          <w:color w:val="474746"/>
          <w:sz w:val="18"/>
          <w:szCs w:val="18"/>
        </w:rPr>
        <w:t>S</w:t>
      </w:r>
      <w:r w:rsidRPr="00F2180D">
        <w:rPr>
          <w:rFonts w:ascii="CeraGR-Regular" w:eastAsiaTheme="minorHAnsi" w:hAnsi="CeraGR-Regular" w:cs="CeraGR-Regular"/>
          <w:color w:val="474746"/>
          <w:sz w:val="18"/>
          <w:szCs w:val="18"/>
        </w:rPr>
        <w:t xml:space="preserve">tanding the provider continues to disregard policy, and/or interacts in an unprofessional manner, they will be notified verbally and in writing of </w:t>
      </w:r>
      <w:proofErr w:type="spellStart"/>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’s</w:t>
      </w:r>
      <w:proofErr w:type="spellEnd"/>
      <w:r w:rsidRPr="00F2180D">
        <w:rPr>
          <w:rFonts w:ascii="CeraGR-Regular" w:eastAsiaTheme="minorHAnsi" w:hAnsi="CeraGR-Regular" w:cs="CeraGR-Regular"/>
          <w:color w:val="474746"/>
          <w:sz w:val="18"/>
          <w:szCs w:val="18"/>
        </w:rPr>
        <w:t xml:space="preserve"> termination of the agreement due to noncompliance. Termination policy will stand as indicated within the business associate agreement, and the consideration for reentry into the network as a business associate will be determined based on the severity of the specific case.</w:t>
      </w:r>
    </w:p>
    <w:p w14:paraId="09414CCC" w14:textId="77777777" w:rsidR="0000714B" w:rsidRDefault="0000714B" w:rsidP="009601B3">
      <w:pPr>
        <w:rPr>
          <w:rFonts w:ascii="Garamond" w:eastAsia="Garamond" w:hAnsi="Garamond" w:cs="Garamond"/>
          <w:sz w:val="27"/>
          <w:szCs w:val="27"/>
        </w:rPr>
      </w:pPr>
    </w:p>
    <w:p w14:paraId="292BF298" w14:textId="06D6FFCC" w:rsidR="0000714B" w:rsidRPr="009216D5" w:rsidRDefault="001C4945" w:rsidP="00A83714">
      <w:pPr>
        <w:pStyle w:val="Heading2"/>
        <w:numPr>
          <w:ilvl w:val="0"/>
          <w:numId w:val="8"/>
        </w:numPr>
        <w:jc w:val="left"/>
        <w:rPr>
          <w:b w:val="0"/>
          <w:bCs w:val="0"/>
          <w:color w:val="1F354D"/>
          <w:sz w:val="24"/>
          <w:szCs w:val="24"/>
        </w:rPr>
      </w:pPr>
      <w:bookmarkStart w:id="2" w:name="_bookmark2"/>
      <w:bookmarkEnd w:id="2"/>
      <w:r w:rsidRPr="009216D5">
        <w:rPr>
          <w:rFonts w:ascii="CeraGR-Regular" w:eastAsiaTheme="minorHAnsi" w:hAnsi="CeraGR-Regular" w:cs="CeraGR-Regular"/>
          <w:bCs w:val="0"/>
          <w:color w:val="1F354D"/>
          <w:sz w:val="24"/>
          <w:szCs w:val="24"/>
        </w:rPr>
        <w:t xml:space="preserve">THE </w:t>
      </w:r>
      <w:r w:rsidR="00FD6744">
        <w:rPr>
          <w:rFonts w:ascii="CeraGR-Regular" w:eastAsiaTheme="minorHAnsi" w:hAnsi="CeraGR-Regular" w:cs="CeraGR-Regular"/>
          <w:bCs w:val="0"/>
          <w:color w:val="1F354D"/>
          <w:sz w:val="24"/>
          <w:szCs w:val="24"/>
        </w:rPr>
        <w:t>MYgroup</w:t>
      </w:r>
      <w:r w:rsidRPr="009216D5">
        <w:rPr>
          <w:rFonts w:ascii="CeraGR-Regular" w:eastAsiaTheme="minorHAnsi" w:hAnsi="CeraGR-Regular" w:cs="CeraGR-Regular"/>
          <w:bCs w:val="0"/>
          <w:color w:val="1F354D"/>
          <w:sz w:val="24"/>
          <w:szCs w:val="24"/>
        </w:rPr>
        <w:t xml:space="preserve"> INTAKE &amp; REFERRAL PROCESS</w:t>
      </w:r>
    </w:p>
    <w:p w14:paraId="16068BCF" w14:textId="77777777" w:rsidR="0000714B" w:rsidRPr="009601B3" w:rsidRDefault="0000714B" w:rsidP="009601B3">
      <w:pPr>
        <w:rPr>
          <w:rFonts w:ascii="Garamond" w:eastAsia="Garamond" w:hAnsi="Garamond" w:cs="Garamond"/>
          <w:b/>
          <w:bCs/>
          <w:sz w:val="24"/>
          <w:szCs w:val="24"/>
        </w:rPr>
      </w:pPr>
    </w:p>
    <w:p w14:paraId="074C6226" w14:textId="77777777" w:rsidR="00BB52F7" w:rsidRDefault="001C4945" w:rsidP="00CB4A9D">
      <w:pPr>
        <w:pStyle w:val="BodyText"/>
        <w:spacing w:line="360" w:lineRule="auto"/>
        <w:ind w:left="0" w:right="11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Session Models and Authorization Process.</w:t>
      </w:r>
      <w:r w:rsidRPr="00F2180D">
        <w:rPr>
          <w:rFonts w:cs="Garamond"/>
          <w:b/>
          <w:bCs/>
          <w:spacing w:val="-2"/>
          <w:sz w:val="18"/>
          <w:szCs w:val="18"/>
        </w:rPr>
        <w:t xml:space="preserve"> </w:t>
      </w:r>
      <w:r w:rsidR="00AF4954">
        <w:rPr>
          <w:rFonts w:ascii="CeraGR-Regular" w:eastAsiaTheme="minorHAnsi" w:hAnsi="CeraGR-Regular" w:cs="CeraGR-Regular"/>
          <w:color w:val="474746"/>
          <w:sz w:val="18"/>
          <w:szCs w:val="18"/>
        </w:rPr>
        <w:t>Providers will be given a courtesy notification of the referral by phone or email. Case managers encourage clients to contact the provider, usually by phone, so providers must have a confidential and professional voicemail</w:t>
      </w:r>
      <w:r w:rsidR="00BB52F7">
        <w:rPr>
          <w:rFonts w:ascii="CeraGR-Regular" w:eastAsiaTheme="minorHAnsi" w:hAnsi="CeraGR-Regular" w:cs="CeraGR-Regular"/>
          <w:color w:val="474746"/>
          <w:sz w:val="18"/>
          <w:szCs w:val="18"/>
        </w:rPr>
        <w:t xml:space="preserve"> identifying themselves or their practice</w:t>
      </w:r>
      <w:r w:rsidR="00AF4954">
        <w:rPr>
          <w:rFonts w:ascii="CeraGR-Regular" w:eastAsiaTheme="minorHAnsi" w:hAnsi="CeraGR-Regular" w:cs="CeraGR-Regular"/>
          <w:color w:val="474746"/>
          <w:sz w:val="18"/>
          <w:szCs w:val="18"/>
        </w:rPr>
        <w:t xml:space="preserve">. The provider may choose to contact the client; contact information will be on the authorization form. The provider will respond to client communication within 24 business hours with an offer of an appointment within 3-5 days. </w:t>
      </w:r>
    </w:p>
    <w:p w14:paraId="6759B2DF" w14:textId="77777777" w:rsidR="00BB52F7" w:rsidRDefault="00BB52F7" w:rsidP="00CB4A9D">
      <w:pPr>
        <w:pStyle w:val="BodyText"/>
        <w:spacing w:line="360" w:lineRule="auto"/>
        <w:ind w:left="0" w:right="110" w:firstLine="0"/>
        <w:rPr>
          <w:rFonts w:ascii="CeraGR-Regular" w:eastAsiaTheme="minorHAnsi" w:hAnsi="CeraGR-Regular" w:cs="CeraGR-Regular"/>
          <w:color w:val="474746"/>
          <w:sz w:val="18"/>
          <w:szCs w:val="18"/>
        </w:rPr>
      </w:pPr>
    </w:p>
    <w:p w14:paraId="3B7ABF2F" w14:textId="3FDA17C9" w:rsidR="00CB5422" w:rsidRDefault="00BB52F7" w:rsidP="00CB4A9D">
      <w:pPr>
        <w:pStyle w:val="BodyText"/>
        <w:spacing w:line="360" w:lineRule="auto"/>
        <w:ind w:left="0" w:right="110"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lastRenderedPageBreak/>
        <w:t>The</w:t>
      </w:r>
      <w:r>
        <w:rPr>
          <w:rFonts w:ascii="CeraGR-Regular" w:eastAsiaTheme="minorHAnsi" w:hAnsi="CeraGR-Regular" w:cs="CeraGR-Regular"/>
          <w:color w:val="474746"/>
          <w:sz w:val="18"/>
          <w:szCs w:val="18"/>
        </w:rPr>
        <w:t xml:space="preserve"> total</w:t>
      </w:r>
      <w:r w:rsidRPr="00F2180D">
        <w:rPr>
          <w:rFonts w:ascii="CeraGR-Regular" w:eastAsiaTheme="minorHAnsi" w:hAnsi="CeraGR-Regular" w:cs="CeraGR-Regular"/>
          <w:color w:val="474746"/>
          <w:sz w:val="18"/>
          <w:szCs w:val="18"/>
        </w:rPr>
        <w:t xml:space="preserve"> number of sessions authorized will be contingent upon the client organization’s session model. Regardless of session model, assessment should be completed within one to two sessions. The number of sessions released can be found on the Authorization of Service form provided by </w:t>
      </w:r>
      <w:r>
        <w:rPr>
          <w:rFonts w:ascii="CeraGR-Regular" w:eastAsiaTheme="minorHAnsi" w:hAnsi="CeraGR-Regular" w:cs="CeraGR-Regular"/>
          <w:color w:val="474746"/>
          <w:sz w:val="18"/>
          <w:szCs w:val="18"/>
        </w:rPr>
        <w:t>the</w:t>
      </w:r>
      <w:r w:rsidRPr="00F2180D">
        <w:rPr>
          <w:rFonts w:ascii="CeraGR-Regular" w:eastAsiaTheme="minorHAnsi" w:hAnsi="CeraGR-Regular" w:cs="CeraGR-Regular"/>
          <w:color w:val="474746"/>
          <w:sz w:val="18"/>
          <w:szCs w:val="18"/>
        </w:rPr>
        <w:t xml:space="preserv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clinical case manager.</w:t>
      </w:r>
      <w:r w:rsidR="00CB5422">
        <w:rPr>
          <w:rFonts w:ascii="CeraGR-Regular" w:eastAsiaTheme="minorHAnsi" w:hAnsi="CeraGR-Regular" w:cs="CeraGR-Regular"/>
          <w:color w:val="474746"/>
          <w:sz w:val="18"/>
          <w:szCs w:val="18"/>
        </w:rPr>
        <w:t xml:space="preserve"> </w:t>
      </w:r>
    </w:p>
    <w:p w14:paraId="28F0D2E1" w14:textId="77777777" w:rsidR="00CB5422" w:rsidRDefault="00CB5422" w:rsidP="00CB4A9D">
      <w:pPr>
        <w:pStyle w:val="BodyText"/>
        <w:spacing w:line="360" w:lineRule="auto"/>
        <w:ind w:left="0" w:right="110" w:firstLine="0"/>
        <w:rPr>
          <w:rFonts w:ascii="CeraGR-Regular" w:eastAsiaTheme="minorHAnsi" w:hAnsi="CeraGR-Regular" w:cs="CeraGR-Regular"/>
          <w:color w:val="474746"/>
          <w:sz w:val="18"/>
          <w:szCs w:val="18"/>
        </w:rPr>
      </w:pPr>
    </w:p>
    <w:p w14:paraId="03ADD6C4" w14:textId="28CB3C51" w:rsidR="00CB5422" w:rsidRDefault="00CB5422" w:rsidP="00CB4A9D">
      <w:pPr>
        <w:pStyle w:val="BodyText"/>
        <w:spacing w:line="360" w:lineRule="auto"/>
        <w:ind w:left="0" w:right="110"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 xml:space="preserve">Providers should not conduct a session with a client until they have the authorization of service form, even if the client says they are covered by McLaughlin Young.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does not reimburse for sessions that have not be previously authorized.</w:t>
      </w:r>
    </w:p>
    <w:p w14:paraId="20654A5D" w14:textId="77777777" w:rsidR="00BB52F7" w:rsidRDefault="00BB52F7" w:rsidP="00AF4954">
      <w:pPr>
        <w:pStyle w:val="BodyText"/>
        <w:spacing w:line="360" w:lineRule="auto"/>
        <w:ind w:left="720" w:right="110" w:firstLine="0"/>
        <w:rPr>
          <w:rFonts w:ascii="CeraGR-Regular" w:eastAsiaTheme="minorHAnsi" w:hAnsi="CeraGR-Regular" w:cs="CeraGR-Regular"/>
          <w:color w:val="474746"/>
          <w:sz w:val="18"/>
          <w:szCs w:val="18"/>
        </w:rPr>
      </w:pPr>
    </w:p>
    <w:p w14:paraId="0A4F4ECE" w14:textId="373060C2" w:rsidR="00C5026D" w:rsidRDefault="00BB52F7" w:rsidP="00CB4A9D">
      <w:pPr>
        <w:pStyle w:val="BodyText"/>
        <w:spacing w:line="360" w:lineRule="auto"/>
        <w:ind w:left="0" w:right="110"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Scheduling Clients</w:t>
      </w:r>
      <w:r w:rsidRPr="00F2180D">
        <w:rPr>
          <w:rFonts w:ascii="Centrale Sans Regular" w:eastAsiaTheme="minorEastAsia" w:hAnsi="Centrale Sans Regular"/>
          <w:b/>
          <w:color w:val="1F354D"/>
          <w:sz w:val="18"/>
          <w:szCs w:val="18"/>
        </w:rPr>
        <w:t>.</w:t>
      </w:r>
      <w:r w:rsidRPr="00F2180D">
        <w:rPr>
          <w:rFonts w:cs="Garamond"/>
          <w:b/>
          <w:bCs/>
          <w:spacing w:val="-2"/>
          <w:sz w:val="18"/>
          <w:szCs w:val="18"/>
        </w:rPr>
        <w:t xml:space="preserve"> </w:t>
      </w:r>
      <w:r>
        <w:rPr>
          <w:rFonts w:ascii="CeraGR-Regular" w:eastAsiaTheme="minorHAnsi" w:hAnsi="CeraGR-Regular" w:cs="CeraGR-Regular"/>
          <w:color w:val="474746"/>
          <w:sz w:val="18"/>
          <w:szCs w:val="18"/>
        </w:rPr>
        <w:t xml:space="preserve">Providers may schedule sessions according to their own practice (e.g., </w:t>
      </w:r>
      <w:r w:rsidR="00521386">
        <w:rPr>
          <w:rFonts w:ascii="CeraGR-Regular" w:eastAsiaTheme="minorHAnsi" w:hAnsi="CeraGR-Regular" w:cs="CeraGR-Regular"/>
          <w:color w:val="474746"/>
          <w:sz w:val="18"/>
          <w:szCs w:val="18"/>
        </w:rPr>
        <w:t xml:space="preserve">make first contact with the client, </w:t>
      </w:r>
      <w:r>
        <w:rPr>
          <w:rFonts w:ascii="CeraGR-Regular" w:eastAsiaTheme="minorHAnsi" w:hAnsi="CeraGR-Regular" w:cs="CeraGR-Regular"/>
          <w:color w:val="474746"/>
          <w:sz w:val="18"/>
          <w:szCs w:val="18"/>
        </w:rPr>
        <w:t>make reminder calls</w:t>
      </w:r>
      <w:r w:rsidR="00C5026D">
        <w:rPr>
          <w:rFonts w:ascii="CeraGR-Regular" w:eastAsiaTheme="minorHAnsi" w:hAnsi="CeraGR-Regular" w:cs="CeraGR-Regular"/>
          <w:color w:val="474746"/>
          <w:sz w:val="18"/>
          <w:szCs w:val="18"/>
        </w:rPr>
        <w:t xml:space="preserve">). </w:t>
      </w:r>
    </w:p>
    <w:p w14:paraId="5883C80A" w14:textId="7F8E67C2" w:rsidR="00BB52F7" w:rsidRDefault="00C5026D" w:rsidP="005A44B9">
      <w:pPr>
        <w:pStyle w:val="BodyText"/>
        <w:spacing w:line="360" w:lineRule="auto"/>
        <w:ind w:left="720" w:right="110"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Virtual/Telehealth/Telephone Sessions.</w:t>
      </w:r>
      <w:r>
        <w:rPr>
          <w:rFonts w:ascii="CeraGR-Regular" w:eastAsiaTheme="minorHAnsi" w:hAnsi="CeraGR-Regular" w:cs="CeraGR-Regular"/>
          <w:color w:val="474746"/>
          <w:sz w:val="18"/>
          <w:szCs w:val="18"/>
        </w:rPr>
        <w:t xml:space="preserve"> Most sessions are conducted in traditional face-to-face settings, though you may provide virtual sessions if the videoconferencing platform you use is HIPAA-compliant. If you are unable to use a HIPAA-compliant virtual platform, please do face-to-face or telephone sessions instead. In cases where the client does not physically come to the therapy office, the provider is responsible for making sure all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paperwork is signed by the client</w:t>
      </w:r>
      <w:r w:rsidR="00521386">
        <w:rPr>
          <w:rFonts w:ascii="CeraGR-Regular" w:eastAsiaTheme="minorHAnsi" w:hAnsi="CeraGR-Regular" w:cs="CeraGR-Regular"/>
          <w:color w:val="474746"/>
          <w:sz w:val="18"/>
          <w:szCs w:val="18"/>
        </w:rPr>
        <w:t xml:space="preserve"> and returned in a secure manner</w:t>
      </w:r>
      <w:r>
        <w:rPr>
          <w:rFonts w:ascii="CeraGR-Regular" w:eastAsiaTheme="minorHAnsi" w:hAnsi="CeraGR-Regular" w:cs="CeraGR-Regular"/>
          <w:color w:val="474746"/>
          <w:sz w:val="18"/>
          <w:szCs w:val="18"/>
        </w:rPr>
        <w:t>.</w:t>
      </w:r>
    </w:p>
    <w:p w14:paraId="6778861E" w14:textId="79A853F3" w:rsidR="00AF4954" w:rsidRDefault="00C5026D" w:rsidP="005A44B9">
      <w:pPr>
        <w:pStyle w:val="BodyText"/>
        <w:spacing w:line="360" w:lineRule="auto"/>
        <w:ind w:left="720" w:right="110" w:firstLine="0"/>
        <w:rPr>
          <w:rFonts w:ascii="Centrale Sans Regular" w:eastAsiaTheme="minorEastAsia" w:hAnsi="Centrale Sans Regular"/>
          <w:b/>
          <w:color w:val="1F354D"/>
          <w:sz w:val="18"/>
          <w:szCs w:val="18"/>
        </w:rPr>
      </w:pPr>
      <w:r>
        <w:rPr>
          <w:rFonts w:ascii="Centrale Sans Regular" w:eastAsiaTheme="minorEastAsia" w:hAnsi="Centrale Sans Regular"/>
          <w:b/>
          <w:color w:val="1F354D"/>
          <w:sz w:val="18"/>
          <w:szCs w:val="18"/>
        </w:rPr>
        <w:t xml:space="preserve">Cancelled and No Show EAP appointments. </w:t>
      </w:r>
      <w:r>
        <w:rPr>
          <w:rFonts w:ascii="CeraGR-Regular" w:eastAsiaTheme="minorHAnsi" w:hAnsi="CeraGR-Regular" w:cs="CeraGR-Regular"/>
          <w:color w:val="474746"/>
          <w:sz w:val="18"/>
          <w:szCs w:val="18"/>
        </w:rPr>
        <w:t xml:space="preserve">While the client is under the auspices of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(i.e., appointments are authorized by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missed or cancelled appointments are not reimbursed by any party, </w:t>
      </w:r>
      <w:r w:rsidR="00521386">
        <w:rPr>
          <w:rFonts w:ascii="CeraGR-Regular" w:eastAsiaTheme="minorHAnsi" w:hAnsi="CeraGR-Regular" w:cs="CeraGR-Regular"/>
          <w:color w:val="474746"/>
          <w:sz w:val="18"/>
          <w:szCs w:val="18"/>
        </w:rPr>
        <w:t>including</w:t>
      </w:r>
      <w:r>
        <w:rPr>
          <w:rFonts w:ascii="CeraGR-Regular" w:eastAsiaTheme="minorHAnsi" w:hAnsi="CeraGR-Regular" w:cs="CeraGR-Regular"/>
          <w:color w:val="474746"/>
          <w:sz w:val="18"/>
          <w:szCs w:val="18"/>
        </w:rPr>
        <w:t xml:space="preserve">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the client, and the client’s insurance company. Providers should indicate the </w:t>
      </w:r>
      <w:r w:rsidR="00521386">
        <w:rPr>
          <w:rFonts w:ascii="CeraGR-Regular" w:eastAsiaTheme="minorHAnsi" w:hAnsi="CeraGR-Regular" w:cs="CeraGR-Regular"/>
          <w:color w:val="474746"/>
          <w:sz w:val="18"/>
          <w:szCs w:val="18"/>
        </w:rPr>
        <w:t xml:space="preserve">date of the </w:t>
      </w:r>
      <w:r>
        <w:rPr>
          <w:rFonts w:ascii="CeraGR-Regular" w:eastAsiaTheme="minorHAnsi" w:hAnsi="CeraGR-Regular" w:cs="CeraGR-Regular"/>
          <w:color w:val="474746"/>
          <w:sz w:val="18"/>
          <w:szCs w:val="18"/>
        </w:rPr>
        <w:t xml:space="preserve">missed appointment on the authorization form because the session does count as </w:t>
      </w:r>
      <w:r w:rsidR="004033EF">
        <w:rPr>
          <w:rFonts w:ascii="CeraGR-Regular" w:eastAsiaTheme="minorHAnsi" w:hAnsi="CeraGR-Regular" w:cs="CeraGR-Regular"/>
          <w:color w:val="474746"/>
          <w:sz w:val="18"/>
          <w:szCs w:val="18"/>
        </w:rPr>
        <w:t xml:space="preserve">an EAP session. </w:t>
      </w:r>
    </w:p>
    <w:p w14:paraId="4F92F18F" w14:textId="4A200E4E" w:rsidR="009E079B" w:rsidRPr="0069143C" w:rsidRDefault="00C5026D" w:rsidP="00CB4A9D">
      <w:pPr>
        <w:pStyle w:val="BodyText"/>
        <w:spacing w:before="240" w:line="360" w:lineRule="auto"/>
        <w:ind w:left="0" w:right="190"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R</w:t>
      </w:r>
      <w:r w:rsidR="001C4945" w:rsidRPr="00F2180D">
        <w:rPr>
          <w:rFonts w:ascii="Centrale Sans Regular" w:eastAsiaTheme="minorEastAsia" w:hAnsi="Centrale Sans Regular"/>
          <w:b/>
          <w:color w:val="1F354D"/>
          <w:sz w:val="18"/>
          <w:szCs w:val="18"/>
        </w:rPr>
        <w:t>equesting Additional Sessions.</w:t>
      </w:r>
      <w:r w:rsidR="001C4945" w:rsidRPr="00F2180D">
        <w:rPr>
          <w:b/>
          <w:color w:val="1F354D"/>
          <w:spacing w:val="70"/>
          <w:sz w:val="18"/>
          <w:szCs w:val="18"/>
        </w:rPr>
        <w:t xml:space="preserve"> </w:t>
      </w:r>
      <w:r w:rsidR="001C4945" w:rsidRPr="00F2180D">
        <w:rPr>
          <w:rFonts w:ascii="CeraGR-Regular" w:eastAsiaTheme="minorHAnsi" w:hAnsi="CeraGR-Regular" w:cs="CeraGR-Regular"/>
          <w:color w:val="474746"/>
          <w:sz w:val="18"/>
          <w:szCs w:val="18"/>
        </w:rPr>
        <w:t xml:space="preserve">Authorization for additional sessions </w:t>
      </w:r>
      <w:r w:rsidR="001C4945" w:rsidRPr="00F2180D">
        <w:rPr>
          <w:rFonts w:ascii="CeraGR-Regular" w:eastAsiaTheme="minorHAnsi" w:hAnsi="CeraGR-Regular" w:cs="CeraGR-Regular"/>
          <w:i/>
          <w:color w:val="474746"/>
          <w:sz w:val="18"/>
          <w:szCs w:val="18"/>
        </w:rPr>
        <w:t>must</w:t>
      </w:r>
      <w:r w:rsidR="001C4945" w:rsidRPr="00F2180D">
        <w:rPr>
          <w:rFonts w:ascii="CeraGR-Regular" w:eastAsiaTheme="minorHAnsi" w:hAnsi="CeraGR-Regular" w:cs="CeraGR-Regular"/>
          <w:color w:val="474746"/>
          <w:sz w:val="18"/>
          <w:szCs w:val="18"/>
        </w:rPr>
        <w:t xml:space="preserve"> be discussed with the case manager prior to providing further services to the client. Non-compliance may result in denial of payment for services rendered.</w:t>
      </w:r>
      <w:r w:rsidR="00521386">
        <w:rPr>
          <w:rFonts w:ascii="CeraGR-Regular" w:eastAsiaTheme="minorHAnsi" w:hAnsi="CeraGR-Regular" w:cs="CeraGR-Regular"/>
          <w:color w:val="474746"/>
          <w:sz w:val="18"/>
          <w:szCs w:val="18"/>
        </w:rPr>
        <w:t xml:space="preserve"> Authorizations are not dated retroactively (i.e., back-dated).</w:t>
      </w:r>
    </w:p>
    <w:p w14:paraId="5349CCEB" w14:textId="33241E78" w:rsidR="0000714B" w:rsidRDefault="001C4945" w:rsidP="00CB4A9D">
      <w:pPr>
        <w:pStyle w:val="BodyText"/>
        <w:spacing w:before="240" w:line="360" w:lineRule="auto"/>
        <w:ind w:left="0" w:right="199"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To obtain additional sessions for EAP-appropriate, brief treatment, </w:t>
      </w:r>
      <w:r w:rsidR="00A012AC">
        <w:rPr>
          <w:rFonts w:ascii="CeraGR-Regular" w:eastAsiaTheme="minorHAnsi" w:hAnsi="CeraGR-Regular" w:cs="CeraGR-Regular"/>
          <w:color w:val="474746"/>
          <w:sz w:val="18"/>
          <w:szCs w:val="18"/>
        </w:rPr>
        <w:t>the provider must</w:t>
      </w:r>
      <w:r w:rsidRPr="00F2180D">
        <w:rPr>
          <w:rFonts w:ascii="CeraGR-Regular" w:eastAsiaTheme="minorHAnsi" w:hAnsi="CeraGR-Regular" w:cs="CeraGR-Regular"/>
          <w:color w:val="474746"/>
          <w:sz w:val="18"/>
          <w:szCs w:val="18"/>
        </w:rPr>
        <w:t xml:space="preserve"> either submit the Request for Additional Sessions form or contact the case manager and </w:t>
      </w:r>
      <w:r w:rsidR="006632C0">
        <w:rPr>
          <w:rFonts w:ascii="CeraGR-Regular" w:eastAsiaTheme="minorHAnsi" w:hAnsi="CeraGR-Regular" w:cs="CeraGR-Regular"/>
          <w:color w:val="474746"/>
          <w:sz w:val="18"/>
          <w:szCs w:val="18"/>
        </w:rPr>
        <w:t>describe</w:t>
      </w:r>
      <w:r w:rsidR="006632C0" w:rsidRPr="00F2180D">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the short-term treatment goals, objectives, and discharge criteria outlined within the client’s proposed treatment plan. I</w:t>
      </w:r>
      <w:r w:rsidR="009E079B" w:rsidRPr="00F2180D">
        <w:rPr>
          <w:rFonts w:ascii="CeraGR-Regular" w:eastAsiaTheme="minorHAnsi" w:hAnsi="CeraGR-Regular" w:cs="CeraGR-Regular"/>
          <w:color w:val="474746"/>
          <w:sz w:val="18"/>
          <w:szCs w:val="18"/>
        </w:rPr>
        <w:t xml:space="preserve">t will </w:t>
      </w:r>
      <w:r w:rsidRPr="00F2180D">
        <w:rPr>
          <w:rFonts w:ascii="CeraGR-Regular" w:eastAsiaTheme="minorHAnsi" w:hAnsi="CeraGR-Regular" w:cs="CeraGR-Regular"/>
          <w:color w:val="474746"/>
          <w:sz w:val="18"/>
          <w:szCs w:val="18"/>
        </w:rPr>
        <w:t>be up to the case manager to release additional sessions, within the scope of the client’s session model.</w:t>
      </w:r>
    </w:p>
    <w:p w14:paraId="0BB1C28E" w14:textId="0A3D51F3" w:rsidR="00CB5422" w:rsidRDefault="00CB5422" w:rsidP="00CB4A9D">
      <w:pPr>
        <w:pStyle w:val="BodyText"/>
        <w:spacing w:before="240" w:line="360" w:lineRule="auto"/>
        <w:ind w:left="0" w:right="199"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 xml:space="preserve">Providers should not conduct a session with a client until they have the authorization of service form for the additional sessions. Case managers usually send (by fax or email) the authorization for additional sessions within 24 business hours of receipt of the request. If the provider has a session with a client without receiving the authorization form, they may not be reimbursed for the session.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does not reimburse for sessions that have not be previously authorized.</w:t>
      </w:r>
    </w:p>
    <w:p w14:paraId="01A3D67B" w14:textId="3D7564A7" w:rsidR="00521386" w:rsidRPr="00521386" w:rsidRDefault="00521386" w:rsidP="005A44B9">
      <w:pPr>
        <w:pStyle w:val="BodyText"/>
        <w:spacing w:before="240" w:line="360" w:lineRule="auto"/>
        <w:ind w:left="0" w:right="199"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 xml:space="preserve">Consult Case Manager. </w:t>
      </w:r>
      <w:r>
        <w:rPr>
          <w:rFonts w:ascii="CeraGR-Regular" w:eastAsiaTheme="minorHAnsi" w:hAnsi="CeraGR-Regular" w:cs="CeraGR-Regular"/>
          <w:color w:val="474746"/>
          <w:sz w:val="18"/>
          <w:szCs w:val="18"/>
        </w:rPr>
        <w:t xml:space="preserve">If the provider has any questions (e.g., how many sessions are in the client’s model, can </w:t>
      </w:r>
      <w:r>
        <w:rPr>
          <w:rFonts w:ascii="CeraGR-Regular" w:eastAsiaTheme="minorHAnsi" w:hAnsi="CeraGR-Regular" w:cs="CeraGR-Regular"/>
          <w:color w:val="474746"/>
          <w:sz w:val="18"/>
          <w:szCs w:val="18"/>
        </w:rPr>
        <w:lastRenderedPageBreak/>
        <w:t xml:space="preserve">the client get additional sessions), s/he should contact the </w:t>
      </w:r>
      <w:r w:rsidR="00A012AC">
        <w:rPr>
          <w:rFonts w:ascii="CeraGR-Regular" w:eastAsiaTheme="minorHAnsi" w:hAnsi="CeraGR-Regular" w:cs="CeraGR-Regular"/>
          <w:color w:val="474746"/>
          <w:sz w:val="18"/>
          <w:szCs w:val="18"/>
        </w:rPr>
        <w:t>c</w:t>
      </w:r>
      <w:r>
        <w:rPr>
          <w:rFonts w:ascii="CeraGR-Regular" w:eastAsiaTheme="minorHAnsi" w:hAnsi="CeraGR-Regular" w:cs="CeraGR-Regular"/>
          <w:color w:val="474746"/>
          <w:sz w:val="18"/>
          <w:szCs w:val="18"/>
        </w:rPr>
        <w:t xml:space="preserve">ase </w:t>
      </w:r>
      <w:r w:rsidR="00A012AC">
        <w:rPr>
          <w:rFonts w:ascii="CeraGR-Regular" w:eastAsiaTheme="minorHAnsi" w:hAnsi="CeraGR-Regular" w:cs="CeraGR-Regular"/>
          <w:color w:val="474746"/>
          <w:sz w:val="18"/>
          <w:szCs w:val="18"/>
        </w:rPr>
        <w:t>m</w:t>
      </w:r>
      <w:r>
        <w:rPr>
          <w:rFonts w:ascii="CeraGR-Regular" w:eastAsiaTheme="minorHAnsi" w:hAnsi="CeraGR-Regular" w:cs="CeraGR-Regular"/>
          <w:color w:val="474746"/>
          <w:sz w:val="18"/>
          <w:szCs w:val="18"/>
        </w:rPr>
        <w:t xml:space="preserve">anager directly. The name of the </w:t>
      </w:r>
      <w:r w:rsidR="00A012AC">
        <w:rPr>
          <w:rFonts w:ascii="CeraGR-Regular" w:eastAsiaTheme="minorHAnsi" w:hAnsi="CeraGR-Regular" w:cs="CeraGR-Regular"/>
          <w:color w:val="474746"/>
          <w:sz w:val="18"/>
          <w:szCs w:val="18"/>
        </w:rPr>
        <w:t>c</w:t>
      </w:r>
      <w:r>
        <w:rPr>
          <w:rFonts w:ascii="CeraGR-Regular" w:eastAsiaTheme="minorHAnsi" w:hAnsi="CeraGR-Regular" w:cs="CeraGR-Regular"/>
          <w:color w:val="474746"/>
          <w:sz w:val="18"/>
          <w:szCs w:val="18"/>
        </w:rPr>
        <w:t xml:space="preserve">ase </w:t>
      </w:r>
      <w:r w:rsidR="00A012AC">
        <w:rPr>
          <w:rFonts w:ascii="CeraGR-Regular" w:eastAsiaTheme="minorHAnsi" w:hAnsi="CeraGR-Regular" w:cs="CeraGR-Regular"/>
          <w:color w:val="474746"/>
          <w:sz w:val="18"/>
          <w:szCs w:val="18"/>
        </w:rPr>
        <w:t>m</w:t>
      </w:r>
      <w:r>
        <w:rPr>
          <w:rFonts w:ascii="CeraGR-Regular" w:eastAsiaTheme="minorHAnsi" w:hAnsi="CeraGR-Regular" w:cs="CeraGR-Regular"/>
          <w:color w:val="474746"/>
          <w:sz w:val="18"/>
          <w:szCs w:val="18"/>
        </w:rPr>
        <w:t>anager is on the authorization form, or the provider can call between 8am-5pm weekdays and give the client ID</w:t>
      </w:r>
      <w:r w:rsidR="00A012AC">
        <w:rPr>
          <w:rFonts w:ascii="CeraGR-Regular" w:eastAsiaTheme="minorHAnsi" w:hAnsi="CeraGR-Regular" w:cs="CeraGR-Regular"/>
          <w:color w:val="474746"/>
          <w:sz w:val="18"/>
          <w:szCs w:val="18"/>
        </w:rPr>
        <w:t xml:space="preserve"> to be connected with the appropriate case manager</w:t>
      </w:r>
      <w:r>
        <w:rPr>
          <w:rFonts w:ascii="CeraGR-Regular" w:eastAsiaTheme="minorHAnsi" w:hAnsi="CeraGR-Regular" w:cs="CeraGR-Regular"/>
          <w:color w:val="474746"/>
          <w:sz w:val="18"/>
          <w:szCs w:val="18"/>
        </w:rPr>
        <w:t xml:space="preserve">. </w:t>
      </w:r>
      <w:r w:rsidRPr="00521386">
        <w:rPr>
          <w:rFonts w:ascii="CeraGR-Regular" w:eastAsiaTheme="minorHAnsi" w:hAnsi="CeraGR-Regular" w:cs="CeraGR-Regular"/>
          <w:color w:val="474746"/>
          <w:sz w:val="18"/>
          <w:szCs w:val="18"/>
          <w:u w:val="single"/>
        </w:rPr>
        <w:t xml:space="preserve">The provider should not ask the client to contact </w:t>
      </w:r>
      <w:r w:rsidR="00FD6744">
        <w:rPr>
          <w:rFonts w:ascii="CeraGR-Regular" w:eastAsiaTheme="minorHAnsi" w:hAnsi="CeraGR-Regular" w:cs="CeraGR-Regular"/>
          <w:color w:val="474746"/>
          <w:sz w:val="18"/>
          <w:szCs w:val="18"/>
          <w:u w:val="single"/>
        </w:rPr>
        <w:t>MYgroup</w:t>
      </w:r>
      <w:r w:rsidRPr="00521386">
        <w:rPr>
          <w:rFonts w:ascii="CeraGR-Regular" w:eastAsiaTheme="minorHAnsi" w:hAnsi="CeraGR-Regular" w:cs="CeraGR-Regular"/>
          <w:color w:val="474746"/>
          <w:sz w:val="18"/>
          <w:szCs w:val="18"/>
          <w:u w:val="single"/>
        </w:rPr>
        <w:t xml:space="preserve"> for any reason</w:t>
      </w:r>
      <w:r w:rsidR="00A012AC">
        <w:rPr>
          <w:rFonts w:ascii="CeraGR-Regular" w:eastAsiaTheme="minorHAnsi" w:hAnsi="CeraGR-Regular" w:cs="CeraGR-Regular"/>
          <w:color w:val="474746"/>
          <w:sz w:val="18"/>
          <w:szCs w:val="18"/>
          <w:u w:val="single"/>
        </w:rPr>
        <w:t xml:space="preserve"> (e.g., ask for additional sessions)</w:t>
      </w:r>
      <w:r w:rsidRPr="00521386">
        <w:rPr>
          <w:rFonts w:ascii="CeraGR-Regular" w:eastAsiaTheme="minorHAnsi" w:hAnsi="CeraGR-Regular" w:cs="CeraGR-Regular"/>
          <w:color w:val="474746"/>
          <w:sz w:val="18"/>
          <w:szCs w:val="18"/>
          <w:u w:val="single"/>
        </w:rPr>
        <w:t xml:space="preserve"> once the referral is made to the provider.</w:t>
      </w:r>
      <w:r>
        <w:rPr>
          <w:rFonts w:ascii="CeraGR-Regular" w:eastAsiaTheme="minorHAnsi" w:hAnsi="CeraGR-Regular" w:cs="CeraGR-Regular"/>
          <w:color w:val="474746"/>
          <w:sz w:val="18"/>
          <w:szCs w:val="18"/>
        </w:rPr>
        <w:t xml:space="preserve"> The client should contact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if s/he has a problem with the provider and/or wants another referral.</w:t>
      </w:r>
    </w:p>
    <w:p w14:paraId="514748A2" w14:textId="77777777" w:rsidR="0000714B" w:rsidRPr="00F2180D" w:rsidRDefault="0000714B" w:rsidP="005A44B9">
      <w:pPr>
        <w:spacing w:before="10"/>
        <w:rPr>
          <w:rFonts w:ascii="Garamond" w:eastAsia="Garamond" w:hAnsi="Garamond" w:cs="Garamond"/>
          <w:sz w:val="18"/>
          <w:szCs w:val="18"/>
        </w:rPr>
      </w:pPr>
    </w:p>
    <w:p w14:paraId="2C3C375C" w14:textId="147DEC06" w:rsidR="006A3D3C" w:rsidRPr="00F2180D" w:rsidRDefault="006A3D3C" w:rsidP="005A44B9">
      <w:pPr>
        <w:pStyle w:val="BodyText"/>
        <w:spacing w:line="360" w:lineRule="auto"/>
        <w:ind w:left="0" w:right="187"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Clinically</w:t>
      </w:r>
      <w:r>
        <w:rPr>
          <w:rFonts w:ascii="Centrale Sans Regular" w:eastAsiaTheme="minorEastAsia" w:hAnsi="Centrale Sans Regular"/>
          <w:b/>
          <w:color w:val="1F354D"/>
          <w:sz w:val="18"/>
          <w:szCs w:val="18"/>
        </w:rPr>
        <w:t>-</w:t>
      </w:r>
      <w:r w:rsidRPr="00F2180D">
        <w:rPr>
          <w:rFonts w:ascii="Centrale Sans Regular" w:eastAsiaTheme="minorEastAsia" w:hAnsi="Centrale Sans Regular"/>
          <w:b/>
          <w:color w:val="1F354D"/>
          <w:sz w:val="18"/>
          <w:szCs w:val="18"/>
        </w:rPr>
        <w:t>Appropriate</w:t>
      </w:r>
      <w:r w:rsidR="001C4945" w:rsidRPr="00F2180D">
        <w:rPr>
          <w:rFonts w:ascii="Centrale Sans Regular" w:eastAsiaTheme="minorEastAsia" w:hAnsi="Centrale Sans Regular"/>
          <w:b/>
          <w:color w:val="1F354D"/>
          <w:sz w:val="18"/>
          <w:szCs w:val="18"/>
        </w:rPr>
        <w:t xml:space="preserve"> Referrals.</w:t>
      </w:r>
      <w:r w:rsidR="001C4945" w:rsidRPr="00F2180D">
        <w:rPr>
          <w:b/>
          <w:color w:val="1F354D"/>
          <w:spacing w:val="68"/>
          <w:sz w:val="18"/>
          <w:szCs w:val="18"/>
        </w:rPr>
        <w:t xml:space="preserve"> </w:t>
      </w:r>
      <w:r w:rsidR="001C4945" w:rsidRPr="00F2180D">
        <w:rPr>
          <w:rFonts w:ascii="CeraGR-Regular" w:eastAsiaTheme="minorHAnsi" w:hAnsi="CeraGR-Regular" w:cs="CeraGR-Regular"/>
          <w:color w:val="474746"/>
          <w:sz w:val="18"/>
          <w:szCs w:val="18"/>
        </w:rPr>
        <w:t xml:space="preserve">If on or before the second visit </w:t>
      </w:r>
      <w:r w:rsidR="00521386">
        <w:rPr>
          <w:rFonts w:ascii="CeraGR-Regular" w:eastAsiaTheme="minorHAnsi" w:hAnsi="CeraGR-Regular" w:cs="CeraGR-Regular"/>
          <w:color w:val="474746"/>
          <w:sz w:val="18"/>
          <w:szCs w:val="18"/>
        </w:rPr>
        <w:t>the provider</w:t>
      </w:r>
      <w:r w:rsidR="001C4945" w:rsidRPr="00F2180D">
        <w:rPr>
          <w:rFonts w:ascii="CeraGR-Regular" w:eastAsiaTheme="minorHAnsi" w:hAnsi="CeraGR-Regular" w:cs="CeraGR-Regular"/>
          <w:color w:val="474746"/>
          <w:sz w:val="18"/>
          <w:szCs w:val="18"/>
        </w:rPr>
        <w:t xml:space="preserve"> assess</w:t>
      </w:r>
      <w:r w:rsidR="00521386">
        <w:rPr>
          <w:rFonts w:ascii="CeraGR-Regular" w:eastAsiaTheme="minorHAnsi" w:hAnsi="CeraGR-Regular" w:cs="CeraGR-Regular"/>
          <w:color w:val="474746"/>
          <w:sz w:val="18"/>
          <w:szCs w:val="18"/>
        </w:rPr>
        <w:t>es</w:t>
      </w:r>
      <w:r w:rsidR="001C4945" w:rsidRPr="00F2180D">
        <w:rPr>
          <w:rFonts w:ascii="CeraGR-Regular" w:eastAsiaTheme="minorHAnsi" w:hAnsi="CeraGR-Regular" w:cs="CeraGR-Regular"/>
          <w:color w:val="474746"/>
          <w:sz w:val="18"/>
          <w:szCs w:val="18"/>
        </w:rPr>
        <w:t xml:space="preserve"> that the client will need longer-term care than the EAP can offer, the client should be referred out of the EAP, taking into consideration the client's insurance benefits.</w:t>
      </w:r>
      <w:r>
        <w:rPr>
          <w:rFonts w:ascii="CeraGR-Regular" w:eastAsiaTheme="minorHAnsi" w:hAnsi="CeraGR-Regular" w:cs="CeraGR-Regular"/>
          <w:color w:val="474746"/>
          <w:sz w:val="18"/>
          <w:szCs w:val="18"/>
        </w:rPr>
        <w:t xml:space="preserve"> The client may be referred out of the EAP to the provider (i.e., self-referral) or to another provider.</w:t>
      </w:r>
      <w:r w:rsidR="00FF1A03">
        <w:rPr>
          <w:rFonts w:ascii="CeraGR-Regular" w:eastAsiaTheme="minorHAnsi" w:hAnsi="CeraGR-Regular" w:cs="CeraGR-Regular"/>
          <w:color w:val="474746"/>
          <w:sz w:val="18"/>
          <w:szCs w:val="18"/>
        </w:rPr>
        <w:t xml:space="preserve"> </w:t>
      </w:r>
      <w:r w:rsidR="0062547C">
        <w:rPr>
          <w:rFonts w:ascii="CeraGR-Regular" w:eastAsiaTheme="minorHAnsi" w:hAnsi="CeraGR-Regular" w:cs="CeraGR-Regular"/>
          <w:color w:val="474746"/>
          <w:sz w:val="18"/>
          <w:szCs w:val="18"/>
        </w:rPr>
        <w:t xml:space="preserve">After the initial assessment session(s), the provider should have an explicit conversation with the client about moving out of EAP services (i.e., referral to self or other, sessions will not be reimbursed by </w:t>
      </w:r>
      <w:r w:rsidR="00FD6744">
        <w:rPr>
          <w:rFonts w:ascii="CeraGR-Regular" w:eastAsiaTheme="minorHAnsi" w:hAnsi="CeraGR-Regular" w:cs="CeraGR-Regular"/>
          <w:color w:val="474746"/>
          <w:sz w:val="18"/>
          <w:szCs w:val="18"/>
        </w:rPr>
        <w:t>MYgroup</w:t>
      </w:r>
      <w:r w:rsidR="0062547C">
        <w:rPr>
          <w:rFonts w:ascii="CeraGR-Regular" w:eastAsiaTheme="minorHAnsi" w:hAnsi="CeraGR-Regular" w:cs="CeraGR-Regular"/>
          <w:color w:val="474746"/>
          <w:sz w:val="18"/>
          <w:szCs w:val="18"/>
        </w:rPr>
        <w:t xml:space="preserve">) or doing short-term therapy using additional session(s) authorized by </w:t>
      </w:r>
      <w:r w:rsidR="00FD6744">
        <w:rPr>
          <w:rFonts w:ascii="CeraGR-Regular" w:eastAsiaTheme="minorHAnsi" w:hAnsi="CeraGR-Regular" w:cs="CeraGR-Regular"/>
          <w:color w:val="474746"/>
          <w:sz w:val="18"/>
          <w:szCs w:val="18"/>
        </w:rPr>
        <w:t>MYgroup</w:t>
      </w:r>
      <w:r w:rsidR="0062547C">
        <w:rPr>
          <w:rFonts w:ascii="CeraGR-Regular" w:eastAsiaTheme="minorHAnsi" w:hAnsi="CeraGR-Regular" w:cs="CeraGR-Regular"/>
          <w:color w:val="474746"/>
          <w:sz w:val="18"/>
          <w:szCs w:val="18"/>
        </w:rPr>
        <w:t>.</w:t>
      </w:r>
    </w:p>
    <w:p w14:paraId="0A7FF7DF" w14:textId="36141D78" w:rsidR="0000714B" w:rsidRDefault="006A3D3C" w:rsidP="005A44B9">
      <w:pPr>
        <w:pStyle w:val="BodyText"/>
        <w:spacing w:line="360" w:lineRule="auto"/>
        <w:ind w:left="720" w:right="123"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Self-Referral.</w:t>
      </w:r>
      <w:r>
        <w:rPr>
          <w:rFonts w:ascii="CeraGR-Regular" w:eastAsiaTheme="minorHAnsi" w:hAnsi="CeraGR-Regular" w:cs="CeraGR-Regular"/>
          <w:color w:val="474746"/>
          <w:sz w:val="18"/>
          <w:szCs w:val="18"/>
        </w:rPr>
        <w:t xml:space="preserve"> </w:t>
      </w:r>
      <w:r w:rsidR="001C4945" w:rsidRPr="00F2180D">
        <w:rPr>
          <w:rFonts w:ascii="CeraGR-Regular" w:eastAsiaTheme="minorHAnsi" w:hAnsi="CeraGR-Regular" w:cs="CeraGR-Regular"/>
          <w:color w:val="474746"/>
          <w:sz w:val="18"/>
          <w:szCs w:val="18"/>
        </w:rPr>
        <w:t xml:space="preserve">If the </w:t>
      </w:r>
      <w:r w:rsidR="00521386">
        <w:rPr>
          <w:rFonts w:ascii="CeraGR-Regular" w:eastAsiaTheme="minorHAnsi" w:hAnsi="CeraGR-Regular" w:cs="CeraGR-Regular"/>
          <w:color w:val="474746"/>
          <w:sz w:val="18"/>
          <w:szCs w:val="18"/>
        </w:rPr>
        <w:t>provider</w:t>
      </w:r>
      <w:r>
        <w:rPr>
          <w:rFonts w:ascii="CeraGR-Regular" w:eastAsiaTheme="minorHAnsi" w:hAnsi="CeraGR-Regular" w:cs="CeraGR-Regular"/>
          <w:color w:val="474746"/>
          <w:sz w:val="18"/>
          <w:szCs w:val="18"/>
        </w:rPr>
        <w:t xml:space="preserve">’s </w:t>
      </w:r>
      <w:r w:rsidR="00A012AC">
        <w:rPr>
          <w:rFonts w:ascii="CeraGR-Regular" w:eastAsiaTheme="minorHAnsi" w:hAnsi="CeraGR-Regular" w:cs="CeraGR-Regular"/>
          <w:color w:val="474746"/>
          <w:sz w:val="18"/>
          <w:szCs w:val="18"/>
        </w:rPr>
        <w:t xml:space="preserve">long-term </w:t>
      </w:r>
      <w:r>
        <w:rPr>
          <w:rFonts w:ascii="CeraGR-Regular" w:eastAsiaTheme="minorHAnsi" w:hAnsi="CeraGR-Regular" w:cs="CeraGR-Regular"/>
          <w:color w:val="474746"/>
          <w:sz w:val="18"/>
          <w:szCs w:val="18"/>
        </w:rPr>
        <w:t>services are</w:t>
      </w:r>
      <w:r w:rsidR="001C4945" w:rsidRPr="00F2180D">
        <w:rPr>
          <w:rFonts w:ascii="CeraGR-Regular" w:eastAsiaTheme="minorHAnsi" w:hAnsi="CeraGR-Regular" w:cs="CeraGR-Regular"/>
          <w:color w:val="474746"/>
          <w:sz w:val="18"/>
          <w:szCs w:val="18"/>
        </w:rPr>
        <w:t xml:space="preserve"> clinically the most appropriate resource available in the area, the</w:t>
      </w:r>
      <w:r w:rsidR="00521386">
        <w:rPr>
          <w:rFonts w:ascii="CeraGR-Regular" w:eastAsiaTheme="minorHAnsi" w:hAnsi="CeraGR-Regular" w:cs="CeraGR-Regular"/>
          <w:color w:val="474746"/>
          <w:sz w:val="18"/>
          <w:szCs w:val="18"/>
        </w:rPr>
        <w:t xml:space="preserve"> provider may</w:t>
      </w:r>
      <w:r w:rsidR="001C4945" w:rsidRPr="00F2180D">
        <w:rPr>
          <w:rFonts w:ascii="CeraGR-Regular" w:eastAsiaTheme="minorHAnsi" w:hAnsi="CeraGR-Regular" w:cs="CeraGR-Regular"/>
          <w:color w:val="474746"/>
          <w:sz w:val="18"/>
          <w:szCs w:val="18"/>
        </w:rPr>
        <w:t xml:space="preserve"> offer that service to the EAP client along with</w:t>
      </w:r>
      <w:r w:rsidR="00CA28B0" w:rsidRPr="00F2180D">
        <w:rPr>
          <w:rFonts w:ascii="CeraGR-Regular" w:eastAsiaTheme="minorHAnsi" w:hAnsi="CeraGR-Regular" w:cs="CeraGR-Regular"/>
          <w:color w:val="474746"/>
          <w:sz w:val="18"/>
          <w:szCs w:val="18"/>
        </w:rPr>
        <w:t xml:space="preserve"> </w:t>
      </w:r>
      <w:r w:rsidR="001C4945" w:rsidRPr="00F2180D">
        <w:rPr>
          <w:rFonts w:ascii="CeraGR-Regular" w:eastAsiaTheme="minorHAnsi" w:hAnsi="CeraGR-Regular" w:cs="CeraGR-Regular"/>
          <w:color w:val="474746"/>
          <w:sz w:val="18"/>
          <w:szCs w:val="18"/>
        </w:rPr>
        <w:t xml:space="preserve">clear disclosure of the fiduciary relationship between the EAP and the long-term services </w:t>
      </w:r>
      <w:r w:rsidR="00574FB4">
        <w:rPr>
          <w:rFonts w:ascii="CeraGR-Regular" w:eastAsiaTheme="minorHAnsi" w:hAnsi="CeraGR-Regular" w:cs="CeraGR-Regular"/>
          <w:color w:val="474746"/>
          <w:sz w:val="18"/>
          <w:szCs w:val="18"/>
        </w:rPr>
        <w:t>the provider’s practice</w:t>
      </w:r>
      <w:r w:rsidR="001C4945" w:rsidRPr="00F2180D">
        <w:rPr>
          <w:rFonts w:ascii="CeraGR-Regular" w:eastAsiaTheme="minorHAnsi" w:hAnsi="CeraGR-Regular" w:cs="CeraGR-Regular"/>
          <w:color w:val="474746"/>
          <w:sz w:val="18"/>
          <w:szCs w:val="18"/>
        </w:rPr>
        <w:t xml:space="preserve"> provides. </w:t>
      </w:r>
      <w:r>
        <w:rPr>
          <w:rFonts w:ascii="CeraGR-Regular" w:eastAsiaTheme="minorHAnsi" w:hAnsi="CeraGR-Regular" w:cs="CeraGR-Regular"/>
          <w:color w:val="474746"/>
          <w:sz w:val="18"/>
          <w:szCs w:val="18"/>
        </w:rPr>
        <w:t>W</w:t>
      </w:r>
      <w:r w:rsidRPr="00F2180D">
        <w:rPr>
          <w:rFonts w:ascii="CeraGR-Regular" w:eastAsiaTheme="minorHAnsi" w:hAnsi="CeraGR-Regular" w:cs="CeraGR-Regular"/>
          <w:color w:val="474746"/>
          <w:sz w:val="18"/>
          <w:szCs w:val="18"/>
        </w:rPr>
        <w:t xml:space="preserve">hen </w:t>
      </w:r>
      <w:r>
        <w:rPr>
          <w:rFonts w:ascii="CeraGR-Regular" w:eastAsiaTheme="minorHAnsi" w:hAnsi="CeraGR-Regular" w:cs="CeraGR-Regular"/>
          <w:color w:val="474746"/>
          <w:sz w:val="18"/>
          <w:szCs w:val="18"/>
        </w:rPr>
        <w:t>self-</w:t>
      </w:r>
      <w:r w:rsidRPr="00F2180D">
        <w:rPr>
          <w:rFonts w:ascii="CeraGR-Regular" w:eastAsiaTheme="minorHAnsi" w:hAnsi="CeraGR-Regular" w:cs="CeraGR-Regular"/>
          <w:color w:val="474746"/>
          <w:sz w:val="18"/>
          <w:szCs w:val="18"/>
        </w:rPr>
        <w:t>referring</w:t>
      </w:r>
      <w:r>
        <w:rPr>
          <w:rFonts w:ascii="CeraGR-Regular" w:eastAsiaTheme="minorHAnsi" w:hAnsi="CeraGR-Regular" w:cs="CeraGR-Regular"/>
          <w:color w:val="474746"/>
          <w:sz w:val="18"/>
          <w:szCs w:val="18"/>
        </w:rPr>
        <w:t xml:space="preserve"> or referring to another</w:t>
      </w:r>
      <w:r w:rsidRPr="00F2180D">
        <w:rPr>
          <w:rFonts w:ascii="CeraGR-Regular" w:eastAsiaTheme="minorHAnsi" w:hAnsi="CeraGR-Regular" w:cs="CeraGR-Regular"/>
          <w:color w:val="474746"/>
          <w:sz w:val="18"/>
          <w:szCs w:val="18"/>
        </w:rPr>
        <w:t xml:space="preserve"> professional in </w:t>
      </w:r>
      <w:r>
        <w:rPr>
          <w:rFonts w:ascii="CeraGR-Regular" w:eastAsiaTheme="minorHAnsi" w:hAnsi="CeraGR-Regular" w:cs="CeraGR-Regular"/>
          <w:color w:val="474746"/>
          <w:sz w:val="18"/>
          <w:szCs w:val="18"/>
        </w:rPr>
        <w:t>the provider’s</w:t>
      </w:r>
      <w:r w:rsidRPr="00F2180D">
        <w:rPr>
          <w:rFonts w:ascii="CeraGR-Regular" w:eastAsiaTheme="minorHAnsi" w:hAnsi="CeraGR-Regular" w:cs="CeraGR-Regular"/>
          <w:color w:val="474746"/>
          <w:sz w:val="18"/>
          <w:szCs w:val="18"/>
        </w:rPr>
        <w:t xml:space="preserve"> practice, </w:t>
      </w:r>
      <w:r>
        <w:rPr>
          <w:rFonts w:ascii="CeraGR-Regular" w:eastAsiaTheme="minorHAnsi" w:hAnsi="CeraGR-Regular" w:cs="CeraGR-Regular"/>
          <w:color w:val="474746"/>
          <w:sz w:val="18"/>
          <w:szCs w:val="18"/>
        </w:rPr>
        <w:t>the provider must</w:t>
      </w:r>
      <w:r w:rsidRPr="00F2180D">
        <w:rPr>
          <w:rFonts w:ascii="CeraGR-Regular" w:eastAsiaTheme="minorHAnsi" w:hAnsi="CeraGR-Regular" w:cs="CeraGR-Regular"/>
          <w:color w:val="474746"/>
          <w:sz w:val="18"/>
          <w:szCs w:val="18"/>
        </w:rPr>
        <w:t xml:space="preserve"> offer at least two additional clinically appropriate options </w:t>
      </w:r>
      <w:r w:rsidR="00A012AC" w:rsidRPr="00F2180D">
        <w:rPr>
          <w:rFonts w:ascii="CeraGR-Regular" w:eastAsiaTheme="minorHAnsi" w:hAnsi="CeraGR-Regular" w:cs="CeraGR-Regular"/>
          <w:color w:val="474746"/>
          <w:sz w:val="18"/>
          <w:szCs w:val="18"/>
        </w:rPr>
        <w:t xml:space="preserve">in the same price range </w:t>
      </w:r>
      <w:r w:rsidRPr="00F2180D">
        <w:rPr>
          <w:rFonts w:ascii="CeraGR-Regular" w:eastAsiaTheme="minorHAnsi" w:hAnsi="CeraGR-Regular" w:cs="CeraGR-Regular"/>
          <w:color w:val="474746"/>
          <w:sz w:val="18"/>
          <w:szCs w:val="18"/>
        </w:rPr>
        <w:t>to the client to give them alternative option</w:t>
      </w:r>
      <w:r w:rsidR="00A012AC">
        <w:rPr>
          <w:rFonts w:ascii="CeraGR-Regular" w:eastAsiaTheme="minorHAnsi" w:hAnsi="CeraGR-Regular" w:cs="CeraGR-Regular"/>
          <w:color w:val="474746"/>
          <w:sz w:val="18"/>
          <w:szCs w:val="18"/>
        </w:rPr>
        <w:t>s</w:t>
      </w:r>
      <w:r w:rsidRPr="00F2180D">
        <w:rPr>
          <w:rFonts w:ascii="CeraGR-Regular" w:eastAsiaTheme="minorHAnsi" w:hAnsi="CeraGR-Regular" w:cs="CeraGR-Regular"/>
          <w:color w:val="474746"/>
          <w:sz w:val="18"/>
          <w:szCs w:val="18"/>
        </w:rPr>
        <w:t xml:space="preserve"> for treatment</w:t>
      </w:r>
      <w:r w:rsidR="001C4945" w:rsidRPr="00F2180D">
        <w:rPr>
          <w:rFonts w:ascii="CeraGR-Regular" w:eastAsiaTheme="minorHAnsi" w:hAnsi="CeraGR-Regular" w:cs="CeraGR-Regular"/>
          <w:color w:val="474746"/>
          <w:sz w:val="18"/>
          <w:szCs w:val="18"/>
        </w:rPr>
        <w:t>.</w:t>
      </w:r>
      <w:r>
        <w:rPr>
          <w:rFonts w:ascii="CeraGR-Regular" w:eastAsiaTheme="minorHAnsi" w:hAnsi="CeraGR-Regular" w:cs="CeraGR-Regular"/>
          <w:color w:val="474746"/>
          <w:sz w:val="18"/>
          <w:szCs w:val="18"/>
        </w:rPr>
        <w:t xml:space="preserve"> Providers making self-referrals should complete the Self-Referral form and return it to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along with the final billing paperwork.</w:t>
      </w:r>
    </w:p>
    <w:p w14:paraId="545C1FC1" w14:textId="2540282E" w:rsidR="0000714B" w:rsidRPr="00F2180D" w:rsidRDefault="006A3D3C" w:rsidP="005A44B9">
      <w:pPr>
        <w:pStyle w:val="BodyText"/>
        <w:spacing w:line="360" w:lineRule="auto"/>
        <w:ind w:left="720" w:right="123" w:firstLine="0"/>
        <w:rPr>
          <w:rFonts w:ascii="CeraGR-Regular" w:eastAsiaTheme="minorHAnsi" w:hAnsi="CeraGR-Regular" w:cs="CeraGR-Regular"/>
          <w:color w:val="474746"/>
          <w:sz w:val="18"/>
          <w:szCs w:val="18"/>
        </w:rPr>
      </w:pPr>
      <w:r>
        <w:rPr>
          <w:rFonts w:ascii="Centrale Sans Regular" w:eastAsiaTheme="minorEastAsia" w:hAnsi="Centrale Sans Regular"/>
          <w:b/>
          <w:color w:val="1F354D"/>
          <w:sz w:val="18"/>
          <w:szCs w:val="18"/>
        </w:rPr>
        <w:t>Outside Referral.</w:t>
      </w:r>
      <w:r>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 xml:space="preserve">If the </w:t>
      </w:r>
      <w:r>
        <w:rPr>
          <w:rFonts w:ascii="CeraGR-Regular" w:eastAsiaTheme="minorHAnsi" w:hAnsi="CeraGR-Regular" w:cs="CeraGR-Regular"/>
          <w:color w:val="474746"/>
          <w:sz w:val="18"/>
          <w:szCs w:val="18"/>
        </w:rPr>
        <w:t xml:space="preserve">provider’s services are not the most appropriate resource available in the area, </w:t>
      </w:r>
      <w:r w:rsidR="001C4945" w:rsidRPr="00F2180D">
        <w:rPr>
          <w:rFonts w:ascii="CeraGR-Regular" w:eastAsiaTheme="minorHAnsi" w:hAnsi="CeraGR-Regular" w:cs="CeraGR-Regular"/>
          <w:color w:val="474746"/>
          <w:sz w:val="18"/>
          <w:szCs w:val="18"/>
        </w:rPr>
        <w:t>then the referral should be to the most clinically appropriate resource.</w:t>
      </w:r>
      <w:r>
        <w:rPr>
          <w:rFonts w:ascii="CeraGR-Regular" w:eastAsiaTheme="minorHAnsi" w:hAnsi="CeraGR-Regular" w:cs="CeraGR-Regular"/>
          <w:color w:val="474746"/>
          <w:sz w:val="18"/>
          <w:szCs w:val="18"/>
        </w:rPr>
        <w:t xml:space="preserve"> Providers should follow best practice by giving the names and contact information for at least 3 appropriate referrals, preferably to providers who accept the client’s health insurance.</w:t>
      </w:r>
    </w:p>
    <w:p w14:paraId="6D3B0B0C" w14:textId="77777777" w:rsidR="0000714B" w:rsidRPr="00F2180D" w:rsidRDefault="0000714B" w:rsidP="00F95715">
      <w:pPr>
        <w:spacing w:before="1"/>
        <w:rPr>
          <w:rFonts w:ascii="Garamond" w:eastAsia="Garamond" w:hAnsi="Garamond" w:cs="Garamond"/>
          <w:color w:val="1F354D"/>
          <w:sz w:val="18"/>
          <w:szCs w:val="18"/>
        </w:rPr>
      </w:pPr>
    </w:p>
    <w:p w14:paraId="0D23C6B2" w14:textId="0DE95418" w:rsidR="001038CB" w:rsidRPr="00F2180D" w:rsidRDefault="001C4945" w:rsidP="005A44B9">
      <w:pPr>
        <w:pStyle w:val="BodyText"/>
        <w:spacing w:line="360" w:lineRule="auto"/>
        <w:ind w:left="0" w:right="34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How to Handle Clients’ Legal Concerns.</w:t>
      </w:r>
      <w:r w:rsidRPr="00F2180D">
        <w:rPr>
          <w:rFonts w:cs="Garamond"/>
          <w:b/>
          <w:bCs/>
          <w:color w:val="1F354D"/>
          <w:spacing w:val="-2"/>
          <w:sz w:val="18"/>
          <w:szCs w:val="18"/>
        </w:rPr>
        <w:t xml:space="preserve"> </w:t>
      </w:r>
      <w:r w:rsidRPr="00F2180D">
        <w:rPr>
          <w:rFonts w:ascii="CeraGR-Regular" w:eastAsiaTheme="minorHAnsi" w:hAnsi="CeraGR-Regular" w:cs="CeraGR-Regular"/>
          <w:color w:val="474746"/>
          <w:sz w:val="18"/>
          <w:szCs w:val="18"/>
        </w:rPr>
        <w:t xml:space="preserve">As a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w:t>
      </w:r>
      <w:r w:rsidR="00C16BC7">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 xml:space="preserve">rovider, and per EAPA ethical guidelines, it is inappropriate to engage in litigation, FMLA, short-term disability, or court proceedings. If these types of requests should arise, please refer the client back to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to discuss their options.  If you have any questions pertaining to how to address involvement with legal concerns, please contact the assigned case manager or the EAP Director.</w:t>
      </w:r>
    </w:p>
    <w:p w14:paraId="308A4D8B" w14:textId="77777777" w:rsidR="001038CB" w:rsidRPr="009601B3" w:rsidRDefault="001038CB" w:rsidP="009601B3">
      <w:pPr>
        <w:pStyle w:val="BodyText"/>
        <w:ind w:left="835" w:right="346" w:firstLine="0"/>
        <w:rPr>
          <w:rFonts w:eastAsiaTheme="minorHAnsi" w:cs="CeraGR-Regular"/>
          <w:color w:val="6D6E71"/>
          <w:sz w:val="27"/>
          <w:szCs w:val="27"/>
        </w:rPr>
      </w:pPr>
    </w:p>
    <w:p w14:paraId="44CD8DC9" w14:textId="071B3EB1" w:rsidR="001038CB" w:rsidRPr="009601B3" w:rsidRDefault="001C4945" w:rsidP="009601B3">
      <w:pPr>
        <w:numPr>
          <w:ilvl w:val="0"/>
          <w:numId w:val="8"/>
        </w:numPr>
        <w:ind w:right="1066"/>
        <w:jc w:val="left"/>
        <w:rPr>
          <w:rFonts w:ascii="Garamond" w:eastAsia="Garamond" w:hAnsi="Garamond" w:cs="Garamond"/>
          <w:color w:val="1F354D"/>
          <w:sz w:val="24"/>
          <w:szCs w:val="24"/>
        </w:rPr>
      </w:pPr>
      <w:bookmarkStart w:id="3" w:name="_bookmark3"/>
      <w:bookmarkEnd w:id="3"/>
      <w:r w:rsidRPr="009216D5">
        <w:rPr>
          <w:rFonts w:ascii="CeraGR-Regular" w:hAnsi="CeraGR-Regular" w:cs="CeraGR-Regular"/>
          <w:b/>
          <w:color w:val="1F354D"/>
          <w:sz w:val="24"/>
          <w:szCs w:val="24"/>
        </w:rPr>
        <w:t xml:space="preserve">THE </w:t>
      </w:r>
      <w:r w:rsidR="00FD6744">
        <w:rPr>
          <w:rFonts w:ascii="CeraGR-Regular" w:hAnsi="CeraGR-Regular" w:cs="CeraGR-Regular"/>
          <w:b/>
          <w:color w:val="1F354D"/>
          <w:sz w:val="24"/>
          <w:szCs w:val="24"/>
        </w:rPr>
        <w:t>MYgroup</w:t>
      </w:r>
      <w:r w:rsidRPr="009216D5">
        <w:rPr>
          <w:rFonts w:ascii="CeraGR-Regular" w:hAnsi="CeraGR-Regular" w:cs="CeraGR-Regular"/>
          <w:b/>
          <w:color w:val="1F354D"/>
          <w:sz w:val="24"/>
          <w:szCs w:val="24"/>
        </w:rPr>
        <w:t xml:space="preserve"> PROVIDER TREATMENT GUIDELINES</w:t>
      </w:r>
      <w:r w:rsidRPr="009216D5">
        <w:rPr>
          <w:rFonts w:ascii="Garamond"/>
          <w:b/>
          <w:color w:val="1F354D"/>
          <w:spacing w:val="23"/>
          <w:sz w:val="24"/>
          <w:szCs w:val="24"/>
        </w:rPr>
        <w:t xml:space="preserve"> </w:t>
      </w:r>
    </w:p>
    <w:p w14:paraId="3B40CFA9" w14:textId="77777777" w:rsidR="009601B3" w:rsidRPr="009216D5" w:rsidRDefault="009601B3" w:rsidP="009601B3">
      <w:pPr>
        <w:ind w:left="720" w:right="1066"/>
        <w:jc w:val="right"/>
        <w:rPr>
          <w:rFonts w:ascii="Garamond" w:eastAsia="Garamond" w:hAnsi="Garamond" w:cs="Garamond"/>
          <w:color w:val="1F354D"/>
          <w:sz w:val="24"/>
          <w:szCs w:val="24"/>
        </w:rPr>
      </w:pPr>
    </w:p>
    <w:p w14:paraId="1CC52C04" w14:textId="77777777" w:rsidR="0000714B" w:rsidRPr="00F2180D" w:rsidRDefault="00084013" w:rsidP="005A44B9">
      <w:pPr>
        <w:spacing w:line="360" w:lineRule="auto"/>
        <w:ind w:right="80"/>
        <w:rPr>
          <w:rFonts w:ascii="CeraGR-Regular" w:hAnsi="CeraGR-Regular" w:cs="CeraGR-Regular"/>
          <w:color w:val="6D6E71"/>
          <w:sz w:val="18"/>
          <w:szCs w:val="18"/>
        </w:rPr>
      </w:pPr>
      <w:r w:rsidRPr="00F2180D">
        <w:rPr>
          <w:rFonts w:ascii="Centrale Sans Regular" w:eastAsiaTheme="minorEastAsia" w:hAnsi="Centrale Sans Regular"/>
          <w:b/>
          <w:color w:val="1F354D"/>
          <w:sz w:val="18"/>
          <w:szCs w:val="18"/>
        </w:rPr>
        <w:t xml:space="preserve">Guidelines </w:t>
      </w:r>
      <w:r w:rsidR="001C4945" w:rsidRPr="00F2180D">
        <w:rPr>
          <w:rFonts w:ascii="Centrale Sans Regular" w:eastAsiaTheme="minorEastAsia" w:hAnsi="Centrale Sans Regular"/>
          <w:b/>
          <w:color w:val="1F354D"/>
          <w:sz w:val="18"/>
          <w:szCs w:val="18"/>
        </w:rPr>
        <w:t>for Treatment.</w:t>
      </w:r>
      <w:r w:rsidR="001C4945" w:rsidRPr="00F2180D">
        <w:rPr>
          <w:rFonts w:ascii="Garamond"/>
          <w:b/>
          <w:color w:val="1F354D"/>
          <w:spacing w:val="69"/>
          <w:sz w:val="18"/>
          <w:szCs w:val="18"/>
        </w:rPr>
        <w:t xml:space="preserve"> </w:t>
      </w:r>
      <w:r w:rsidR="001C4945" w:rsidRPr="00F2180D">
        <w:rPr>
          <w:rFonts w:ascii="CeraGR-Regular" w:hAnsi="CeraGR-Regular" w:cs="CeraGR-Regular"/>
          <w:color w:val="474746"/>
          <w:sz w:val="18"/>
          <w:szCs w:val="18"/>
        </w:rPr>
        <w:t>The EAP assessment should result in the</w:t>
      </w:r>
      <w:r w:rsidR="001038CB" w:rsidRPr="00F2180D">
        <w:rPr>
          <w:rFonts w:ascii="CeraGR-Regular" w:hAnsi="CeraGR-Regular" w:cs="CeraGR-Regular"/>
          <w:color w:val="474746"/>
          <w:sz w:val="18"/>
          <w:szCs w:val="18"/>
        </w:rPr>
        <w:t xml:space="preserve"> </w:t>
      </w:r>
      <w:r w:rsidR="001C4945" w:rsidRPr="00F2180D">
        <w:rPr>
          <w:rFonts w:ascii="CeraGR-Regular" w:hAnsi="CeraGR-Regular" w:cs="CeraGR-Regular"/>
          <w:color w:val="474746"/>
          <w:sz w:val="18"/>
          <w:szCs w:val="18"/>
        </w:rPr>
        <w:t>formulation of an EAP Treatment Plan. Goals and discharge criteria should be objective and measurable. For employees in crisis, the goal of EAP is typically the restoration of the employee’s satisfactory level of functioning. Sessions should be focused on strategizing solutions, building on strengths, accessing support systems, and utilizing community resources when appropriate.</w:t>
      </w:r>
    </w:p>
    <w:p w14:paraId="533660AE" w14:textId="77777777" w:rsidR="006D4323" w:rsidRPr="00F2180D" w:rsidRDefault="006D4323" w:rsidP="005A44B9">
      <w:pPr>
        <w:pStyle w:val="BodyText"/>
        <w:spacing w:line="360" w:lineRule="auto"/>
        <w:ind w:left="0" w:right="110"/>
        <w:rPr>
          <w:rFonts w:ascii="Centrale Sans Regular" w:eastAsiaTheme="minorEastAsia" w:hAnsi="Centrale Sans Regular"/>
          <w:b/>
          <w:color w:val="01426A"/>
          <w:sz w:val="18"/>
          <w:szCs w:val="18"/>
        </w:rPr>
      </w:pPr>
    </w:p>
    <w:p w14:paraId="6827DB22" w14:textId="32747B38" w:rsidR="0000714B" w:rsidRPr="00F2180D" w:rsidRDefault="001C4945" w:rsidP="005A44B9">
      <w:pPr>
        <w:pStyle w:val="BodyText"/>
        <w:spacing w:line="360" w:lineRule="auto"/>
        <w:ind w:left="0" w:right="11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lastRenderedPageBreak/>
        <w:t>Duty to Warn.</w:t>
      </w:r>
      <w:r w:rsidRPr="00F2180D">
        <w:rPr>
          <w:color w:val="1F354D"/>
          <w:sz w:val="18"/>
          <w:szCs w:val="18"/>
        </w:rPr>
        <w:t xml:space="preserve"> </w:t>
      </w:r>
      <w:r w:rsidRPr="00F2180D">
        <w:rPr>
          <w:rFonts w:ascii="CeraGR-Regular" w:eastAsiaTheme="minorHAnsi" w:hAnsi="CeraGR-Regular" w:cs="CeraGR-Regular"/>
          <w:color w:val="474746"/>
          <w:sz w:val="18"/>
          <w:szCs w:val="18"/>
        </w:rPr>
        <w:t xml:space="preserve">Please follow your state and professional ethical guidelines regarding breach of confidentiality and duty to warn. If there is a suspected or immediate risk to the safety of the client’s self or other, including child, elder or disabled person, please advise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at your earliest convenience.</w:t>
      </w:r>
    </w:p>
    <w:p w14:paraId="5C0EA514" w14:textId="77777777" w:rsidR="0000714B" w:rsidRPr="00F2180D" w:rsidRDefault="0000714B" w:rsidP="005A44B9">
      <w:pPr>
        <w:spacing w:before="10" w:line="360" w:lineRule="auto"/>
        <w:rPr>
          <w:rFonts w:ascii="Garamond" w:eastAsia="Garamond" w:hAnsi="Garamond" w:cs="Garamond"/>
          <w:sz w:val="18"/>
          <w:szCs w:val="18"/>
        </w:rPr>
      </w:pPr>
    </w:p>
    <w:p w14:paraId="38DFE887" w14:textId="77777777" w:rsidR="0000714B" w:rsidRPr="00337BEE" w:rsidRDefault="001C4945" w:rsidP="005A44B9">
      <w:pPr>
        <w:pStyle w:val="BodyText"/>
        <w:spacing w:line="360" w:lineRule="auto"/>
        <w:ind w:left="0" w:right="11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Brief Assessment &amp; Referral Guidelines.</w:t>
      </w:r>
      <w:r w:rsidRPr="00F2180D">
        <w:rPr>
          <w:rFonts w:cs="Garamond"/>
          <w:b/>
          <w:bCs/>
          <w:color w:val="1F354D"/>
          <w:spacing w:val="70"/>
          <w:sz w:val="18"/>
          <w:szCs w:val="18"/>
        </w:rPr>
        <w:t xml:space="preserve"> </w:t>
      </w:r>
      <w:r w:rsidRPr="00F2180D">
        <w:rPr>
          <w:rFonts w:ascii="CeraGR-Regular" w:eastAsiaTheme="minorHAnsi" w:hAnsi="CeraGR-Regular" w:cs="CeraGR-Regular"/>
          <w:color w:val="474746"/>
          <w:sz w:val="18"/>
          <w:szCs w:val="18"/>
        </w:rPr>
        <w:t>EAP counseling is typically present-centered and does not seek extensive exploration or attempted solution of long-term family of origin issues.  Per EAPA guidelines, the essential components of problem identification and or assessments include identifying, documenting, and evaluating the client’s unique strengths, weaknesses, and problems, and strategizing solutions including accessing support systems and</w:t>
      </w:r>
      <w:r w:rsidR="001038CB" w:rsidRPr="00F2180D">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community resources to develop an appropriate action plan. Basic elements include:</w:t>
      </w:r>
    </w:p>
    <w:p w14:paraId="00E84AFA"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Client statement of presenting problems</w:t>
      </w:r>
    </w:p>
    <w:p w14:paraId="6A911AAE"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Level of risk to self and others</w:t>
      </w:r>
    </w:p>
    <w:p w14:paraId="5BB97873"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Any precipitating events</w:t>
      </w:r>
    </w:p>
    <w:p w14:paraId="754EC704" w14:textId="77777777" w:rsidR="0000714B" w:rsidRPr="00F2180D" w:rsidRDefault="001C4945" w:rsidP="005A44B9">
      <w:pPr>
        <w:pStyle w:val="BodyText"/>
        <w:numPr>
          <w:ilvl w:val="0"/>
          <w:numId w:val="4"/>
        </w:numPr>
        <w:spacing w:before="2"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Impact on job performance</w:t>
      </w:r>
    </w:p>
    <w:p w14:paraId="6A35CC3A"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Impact on other life activities</w:t>
      </w:r>
    </w:p>
    <w:p w14:paraId="2CE8BCF1" w14:textId="77777777" w:rsidR="0000714B" w:rsidRPr="00F2180D" w:rsidRDefault="003D6B96"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History</w:t>
      </w:r>
      <w:r w:rsidR="001C4945" w:rsidRPr="00F2180D">
        <w:rPr>
          <w:rFonts w:ascii="CeraGR-Regular" w:eastAsiaTheme="minorHAnsi" w:hAnsi="CeraGR-Regular" w:cs="CeraGR-Regular"/>
          <w:color w:val="474746"/>
          <w:sz w:val="18"/>
          <w:szCs w:val="18"/>
        </w:rPr>
        <w:t xml:space="preserve"> of issue, including attempts at resolution</w:t>
      </w:r>
    </w:p>
    <w:p w14:paraId="77A5244B"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Alcohol and drug use/abuse history</w:t>
      </w:r>
    </w:p>
    <w:p w14:paraId="156E3AAC" w14:textId="77777777" w:rsidR="0000714B" w:rsidRPr="00F2180D" w:rsidRDefault="001C4945" w:rsidP="005A44B9">
      <w:pPr>
        <w:pStyle w:val="BodyText"/>
        <w:numPr>
          <w:ilvl w:val="0"/>
          <w:numId w:val="4"/>
        </w:numPr>
        <w:spacing w:before="1"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Relevant health concerns</w:t>
      </w:r>
    </w:p>
    <w:p w14:paraId="40CDA1D7"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Relevant family history</w:t>
      </w:r>
    </w:p>
    <w:p w14:paraId="2BC68847"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Observed mental/emotional state</w:t>
      </w:r>
    </w:p>
    <w:p w14:paraId="7A66D718" w14:textId="77777777" w:rsidR="0000714B" w:rsidRPr="00F2180D" w:rsidRDefault="001C4945" w:rsidP="005A44B9">
      <w:pPr>
        <w:pStyle w:val="BodyText"/>
        <w:numPr>
          <w:ilvl w:val="0"/>
          <w:numId w:val="4"/>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Corroborating data</w:t>
      </w:r>
    </w:p>
    <w:p w14:paraId="5656A29D" w14:textId="77777777" w:rsidR="0069143C" w:rsidRPr="00614D5F" w:rsidRDefault="001C4945" w:rsidP="005A44B9">
      <w:pPr>
        <w:pStyle w:val="BodyText"/>
        <w:numPr>
          <w:ilvl w:val="0"/>
          <w:numId w:val="4"/>
        </w:numPr>
        <w:spacing w:before="1"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Initial impression</w:t>
      </w:r>
    </w:p>
    <w:p w14:paraId="54A93448" w14:textId="77777777" w:rsidR="002463D2" w:rsidRPr="00F2180D" w:rsidRDefault="002463D2" w:rsidP="005A44B9">
      <w:pPr>
        <w:pStyle w:val="BodyText"/>
        <w:spacing w:before="1" w:line="360" w:lineRule="auto"/>
        <w:ind w:left="360" w:firstLine="0"/>
        <w:rPr>
          <w:rFonts w:ascii="CeraGR-Regular" w:eastAsiaTheme="minorHAnsi" w:hAnsi="CeraGR-Regular" w:cs="CeraGR-Regular"/>
          <w:color w:val="6D6E71"/>
          <w:sz w:val="18"/>
          <w:szCs w:val="18"/>
        </w:rPr>
      </w:pPr>
    </w:p>
    <w:p w14:paraId="7A47806D" w14:textId="35443029" w:rsidR="009E079B" w:rsidRPr="00F2180D" w:rsidRDefault="001C4945" w:rsidP="005A44B9">
      <w:pPr>
        <w:pStyle w:val="BodyText"/>
        <w:spacing w:line="360" w:lineRule="auto"/>
        <w:ind w:left="0" w:right="117"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Referral Guidelines.</w:t>
      </w:r>
      <w:r w:rsidRPr="00F2180D">
        <w:rPr>
          <w:b/>
          <w:color w:val="1F354D"/>
          <w:sz w:val="18"/>
          <w:szCs w:val="18"/>
        </w:rPr>
        <w:t xml:space="preserve"> </w:t>
      </w:r>
      <w:r w:rsidRPr="00F2180D">
        <w:rPr>
          <w:rFonts w:ascii="CeraGR-Regular" w:eastAsiaTheme="minorHAnsi" w:hAnsi="CeraGR-Regular" w:cs="CeraGR-Regular"/>
          <w:color w:val="474746"/>
          <w:sz w:val="18"/>
          <w:szCs w:val="18"/>
        </w:rPr>
        <w:t>Referrals should be made after the initial assessment session(s). Research local resources for the most appropriate referral options in the area, based on the unique needs and circumstances of the client as revealed in the assessment process and on the availability of and access to services. Also check the requirements of healthcare benefits. The EAP</w:t>
      </w:r>
      <w:r w:rsidR="006632C0">
        <w:rPr>
          <w:rFonts w:ascii="CeraGR-Regular" w:eastAsiaTheme="minorHAnsi" w:hAnsi="CeraGR-Regular" w:cs="CeraGR-Regular"/>
          <w:color w:val="474746"/>
          <w:sz w:val="18"/>
          <w:szCs w:val="18"/>
        </w:rPr>
        <w:t xml:space="preserve"> provider</w:t>
      </w:r>
      <w:r w:rsidRPr="00F2180D">
        <w:rPr>
          <w:rFonts w:ascii="CeraGR-Regular" w:eastAsiaTheme="minorHAnsi" w:hAnsi="CeraGR-Regular" w:cs="CeraGR-Regular"/>
          <w:color w:val="474746"/>
          <w:sz w:val="18"/>
          <w:szCs w:val="18"/>
        </w:rPr>
        <w:t xml:space="preserve"> must refer the client to appropriate </w:t>
      </w:r>
      <w:r w:rsidR="009428C3" w:rsidRPr="00F2180D">
        <w:rPr>
          <w:rFonts w:ascii="CeraGR-Regular" w:eastAsiaTheme="minorHAnsi" w:hAnsi="CeraGR-Regular" w:cs="CeraGR-Regular"/>
          <w:color w:val="474746"/>
          <w:sz w:val="18"/>
          <w:szCs w:val="18"/>
        </w:rPr>
        <w:t xml:space="preserve">services when it is determined that needed assistance is beyond the scope of guidelines of the EAP. </w:t>
      </w:r>
      <w:r w:rsidR="00FF1A03">
        <w:rPr>
          <w:rFonts w:ascii="CeraGR-Regular" w:eastAsiaTheme="minorHAnsi" w:hAnsi="CeraGR-Regular" w:cs="CeraGR-Regular"/>
          <w:color w:val="474746"/>
          <w:sz w:val="18"/>
          <w:szCs w:val="18"/>
        </w:rPr>
        <w:t xml:space="preserve">See earlier section on Clinically-Appropriate Referrals. </w:t>
      </w:r>
    </w:p>
    <w:p w14:paraId="2416C05F" w14:textId="77777777" w:rsidR="006D4323" w:rsidRPr="00F2180D" w:rsidRDefault="006D4323" w:rsidP="005A44B9">
      <w:pPr>
        <w:pStyle w:val="BodyText"/>
        <w:spacing w:line="360" w:lineRule="auto"/>
        <w:ind w:left="0" w:right="233" w:firstLine="0"/>
        <w:rPr>
          <w:rFonts w:ascii="Centrale Sans Regular" w:eastAsiaTheme="minorEastAsia" w:hAnsi="Centrale Sans Regular"/>
          <w:b/>
          <w:color w:val="01426A"/>
          <w:sz w:val="18"/>
          <w:szCs w:val="18"/>
        </w:rPr>
      </w:pPr>
    </w:p>
    <w:p w14:paraId="17DED036" w14:textId="77777777" w:rsidR="0000714B" w:rsidRPr="00F2180D" w:rsidRDefault="001C4945" w:rsidP="005A44B9">
      <w:pPr>
        <w:pStyle w:val="BodyText"/>
        <w:spacing w:line="360" w:lineRule="auto"/>
        <w:ind w:left="0" w:right="233" w:firstLine="0"/>
        <w:rPr>
          <w:rFonts w:ascii="CeraGR-Regular" w:eastAsiaTheme="minorHAnsi" w:hAnsi="CeraGR-Regular" w:cs="CeraGR-Regular"/>
          <w:color w:val="6D6E71"/>
          <w:sz w:val="18"/>
          <w:szCs w:val="18"/>
        </w:rPr>
      </w:pPr>
      <w:r w:rsidRPr="00F2180D">
        <w:rPr>
          <w:rFonts w:ascii="Centrale Sans Regular" w:eastAsiaTheme="minorEastAsia" w:hAnsi="Centrale Sans Regular"/>
          <w:b/>
          <w:color w:val="1F354D"/>
          <w:sz w:val="18"/>
          <w:szCs w:val="18"/>
        </w:rPr>
        <w:t>Short-Term Problem Resolution (Brief Treatment) Guidelines.</w:t>
      </w:r>
      <w:r w:rsidRPr="00F2180D">
        <w:rPr>
          <w:rFonts w:cs="Garamond"/>
          <w:b/>
          <w:bCs/>
          <w:color w:val="1F354D"/>
          <w:spacing w:val="-2"/>
          <w:sz w:val="18"/>
          <w:szCs w:val="18"/>
        </w:rPr>
        <w:t xml:space="preserve"> </w:t>
      </w:r>
      <w:r w:rsidRPr="00F2180D">
        <w:rPr>
          <w:rFonts w:ascii="CeraGR-Regular" w:eastAsiaTheme="minorHAnsi" w:hAnsi="CeraGR-Regular" w:cs="CeraGR-Regular"/>
          <w:color w:val="474746"/>
          <w:sz w:val="18"/>
          <w:szCs w:val="18"/>
        </w:rPr>
        <w:t xml:space="preserve">Excluding chronic, long-term issues, many concerns can be identified and treated within the scope of brief treatment. To assist with this treatment planning process, please refer to </w:t>
      </w:r>
      <w:hyperlink r:id="rId24" w:history="1">
        <w:r w:rsidRPr="0070454B">
          <w:rPr>
            <w:rStyle w:val="Hyperlink"/>
            <w:rFonts w:ascii="CeraGR-Regular" w:eastAsiaTheme="minorHAnsi" w:hAnsi="CeraGR-Regular" w:cs="CeraGR-Regular"/>
            <w:color w:val="259292"/>
            <w:sz w:val="18"/>
            <w:szCs w:val="18"/>
          </w:rPr>
          <w:t>The Employee Assistance Treatment Planner</w:t>
        </w:r>
        <w:r w:rsidRPr="0070454B">
          <w:rPr>
            <w:rStyle w:val="Hyperlink"/>
            <w:color w:val="259292"/>
            <w:sz w:val="18"/>
            <w:szCs w:val="18"/>
          </w:rPr>
          <w:t>,</w:t>
        </w:r>
      </w:hyperlink>
      <w:r w:rsidRPr="0070454B">
        <w:rPr>
          <w:rStyle w:val="Hyperlink"/>
          <w:color w:val="259292"/>
          <w:sz w:val="18"/>
          <w:szCs w:val="18"/>
        </w:rPr>
        <w:t xml:space="preserve"> </w:t>
      </w:r>
      <w:r w:rsidRPr="00F2180D">
        <w:rPr>
          <w:rFonts w:ascii="CeraGR-Regular" w:eastAsiaTheme="minorHAnsi" w:hAnsi="CeraGR-Regular" w:cs="CeraGR-Regular"/>
          <w:color w:val="474746"/>
          <w:sz w:val="18"/>
          <w:szCs w:val="18"/>
        </w:rPr>
        <w:t>written by Oher, Conti, and Jongsma, Jr., which provides a step-by-step guide for common EAP concerns, which can be tailored to clients’ unique situations. This handbook can assist with identifying behavioral definitions, short-term treatment objectives, an overall treatment goal, and relevant therapeutic interventions.</w:t>
      </w:r>
    </w:p>
    <w:p w14:paraId="59E656F8" w14:textId="77777777" w:rsidR="009428C3" w:rsidRPr="00F2180D" w:rsidRDefault="009428C3" w:rsidP="005A44B9">
      <w:pPr>
        <w:pStyle w:val="BodyText"/>
        <w:spacing w:line="360" w:lineRule="auto"/>
        <w:ind w:left="0" w:right="168" w:firstLine="0"/>
        <w:jc w:val="both"/>
        <w:rPr>
          <w:rFonts w:ascii="Centrale Sans Regular" w:eastAsiaTheme="minorEastAsia" w:hAnsi="Centrale Sans Regular"/>
          <w:b/>
          <w:color w:val="1F354D"/>
          <w:sz w:val="18"/>
          <w:szCs w:val="18"/>
        </w:rPr>
      </w:pPr>
    </w:p>
    <w:p w14:paraId="74A36080" w14:textId="7B56E954" w:rsidR="006D4323" w:rsidRPr="002C7476" w:rsidRDefault="001C4945" w:rsidP="005A44B9">
      <w:pPr>
        <w:pStyle w:val="BodyText"/>
        <w:spacing w:line="360" w:lineRule="auto"/>
        <w:ind w:left="0" w:right="168" w:firstLine="0"/>
        <w:jc w:val="both"/>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Specialized &amp; Long-Term Treatment Guidelines.</w:t>
      </w:r>
      <w:r w:rsidRPr="00F2180D">
        <w:rPr>
          <w:b/>
          <w:color w:val="1F354D"/>
          <w:sz w:val="18"/>
          <w:szCs w:val="18"/>
        </w:rPr>
        <w:t xml:space="preserve"> </w:t>
      </w:r>
      <w:r w:rsidRPr="00F2180D">
        <w:rPr>
          <w:rFonts w:ascii="CeraGR-Regular" w:eastAsiaTheme="minorHAnsi" w:hAnsi="CeraGR-Regular" w:cs="CeraGR-Regular"/>
          <w:color w:val="474746"/>
          <w:sz w:val="18"/>
          <w:szCs w:val="18"/>
        </w:rPr>
        <w:t xml:space="preserve">Individuals presenting to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with the following problems </w:t>
      </w:r>
      <w:r w:rsidRPr="00F2180D">
        <w:rPr>
          <w:rFonts w:ascii="CeraGR-Regular" w:eastAsiaTheme="minorHAnsi" w:hAnsi="CeraGR-Regular" w:cs="CeraGR-Regular"/>
          <w:color w:val="474746"/>
          <w:sz w:val="18"/>
          <w:szCs w:val="18"/>
        </w:rPr>
        <w:lastRenderedPageBreak/>
        <w:t>may, after initial EAP assessment, require a referral for specialized treatment due to the complexity and/or urgency of their clinical situation:</w:t>
      </w:r>
    </w:p>
    <w:p w14:paraId="3ABA0ABB" w14:textId="77777777" w:rsidR="001038CB" w:rsidRPr="00F2180D" w:rsidRDefault="001C4945" w:rsidP="005A44B9">
      <w:pPr>
        <w:pStyle w:val="BodyText"/>
        <w:numPr>
          <w:ilvl w:val="0"/>
          <w:numId w:val="10"/>
        </w:numPr>
        <w:spacing w:line="360" w:lineRule="auto"/>
        <w:ind w:left="360" w:right="168"/>
        <w:jc w:val="both"/>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Psychotic symptoms</w:t>
      </w:r>
    </w:p>
    <w:p w14:paraId="0E3A8812" w14:textId="77777777" w:rsidR="0000714B" w:rsidRPr="00F2180D" w:rsidRDefault="001C4945" w:rsidP="005A44B9">
      <w:pPr>
        <w:pStyle w:val="BodyText"/>
        <w:numPr>
          <w:ilvl w:val="0"/>
          <w:numId w:val="10"/>
        </w:numPr>
        <w:spacing w:line="360" w:lineRule="auto"/>
        <w:ind w:left="360" w:right="168"/>
        <w:jc w:val="both"/>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Clinical conditions that require possible inpatient admission</w:t>
      </w:r>
    </w:p>
    <w:p w14:paraId="7682CFBC" w14:textId="77777777" w:rsidR="0000714B" w:rsidRPr="00F2180D" w:rsidRDefault="001C4945" w:rsidP="005A44B9">
      <w:pPr>
        <w:pStyle w:val="BodyText"/>
        <w:numPr>
          <w:ilvl w:val="1"/>
          <w:numId w:val="8"/>
        </w:numPr>
        <w:tabs>
          <w:tab w:val="left" w:pos="2281"/>
        </w:tabs>
        <w:spacing w:line="360" w:lineRule="auto"/>
        <w:ind w:left="360" w:right="875"/>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Psychiatric assessments needed prior to admission to a psychiatric hospital or residential treatment center</w:t>
      </w:r>
    </w:p>
    <w:p w14:paraId="13685E27" w14:textId="77777777" w:rsidR="0000714B" w:rsidRPr="00F2180D" w:rsidRDefault="001C4945" w:rsidP="005A44B9">
      <w:pPr>
        <w:pStyle w:val="BodyText"/>
        <w:numPr>
          <w:ilvl w:val="1"/>
          <w:numId w:val="8"/>
        </w:numPr>
        <w:tabs>
          <w:tab w:val="left" w:pos="2281"/>
        </w:tabs>
        <w:spacing w:line="360" w:lineRule="auto"/>
        <w:ind w:left="360" w:right="1465"/>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All diagnostic dilemmas, therapeutic dilemmas, and complex psychiatric conditions</w:t>
      </w:r>
    </w:p>
    <w:p w14:paraId="25F0C594" w14:textId="77777777" w:rsidR="0000714B" w:rsidRPr="00F2180D" w:rsidRDefault="001C4945" w:rsidP="005A44B9">
      <w:pPr>
        <w:pStyle w:val="BodyText"/>
        <w:numPr>
          <w:ilvl w:val="1"/>
          <w:numId w:val="8"/>
        </w:numPr>
        <w:tabs>
          <w:tab w:val="left" w:pos="2281"/>
        </w:tabs>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Individuals with a question of organic etiology</w:t>
      </w:r>
    </w:p>
    <w:p w14:paraId="20D87637" w14:textId="77777777" w:rsidR="0000714B" w:rsidRPr="00F2180D" w:rsidRDefault="001C4945" w:rsidP="005A44B9">
      <w:pPr>
        <w:pStyle w:val="BodyText"/>
        <w:numPr>
          <w:ilvl w:val="1"/>
          <w:numId w:val="8"/>
        </w:numPr>
        <w:tabs>
          <w:tab w:val="left" w:pos="2281"/>
        </w:tabs>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Individuals needing psychopharmacology or somatic therapies</w:t>
      </w:r>
    </w:p>
    <w:p w14:paraId="2B3BDF58" w14:textId="77777777" w:rsidR="0000714B" w:rsidRPr="00F2180D" w:rsidRDefault="001C4945" w:rsidP="005A44B9">
      <w:pPr>
        <w:pStyle w:val="BodyText"/>
        <w:numPr>
          <w:ilvl w:val="1"/>
          <w:numId w:val="8"/>
        </w:numPr>
        <w:tabs>
          <w:tab w:val="left" w:pos="2281"/>
        </w:tabs>
        <w:spacing w:line="360" w:lineRule="auto"/>
        <w:ind w:left="360" w:right="1465"/>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Individuals with unstable medical conditions with behavioral components</w:t>
      </w:r>
    </w:p>
    <w:p w14:paraId="32F3F1C3" w14:textId="77777777" w:rsidR="0000714B" w:rsidRPr="00F2180D" w:rsidRDefault="001C4945" w:rsidP="005A44B9">
      <w:pPr>
        <w:pStyle w:val="BodyText"/>
        <w:numPr>
          <w:ilvl w:val="1"/>
          <w:numId w:val="8"/>
        </w:numPr>
        <w:tabs>
          <w:tab w:val="left" w:pos="2281"/>
        </w:tabs>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Individuals taking psychotropic medication</w:t>
      </w:r>
    </w:p>
    <w:p w14:paraId="538E818F" w14:textId="77777777" w:rsidR="0000714B" w:rsidRPr="00F2180D" w:rsidRDefault="001C4945" w:rsidP="005A44B9">
      <w:pPr>
        <w:pStyle w:val="BodyText"/>
        <w:numPr>
          <w:ilvl w:val="1"/>
          <w:numId w:val="8"/>
        </w:numPr>
        <w:tabs>
          <w:tab w:val="left" w:pos="2281"/>
        </w:tabs>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Individuals needing medication follow-up post-hospital</w:t>
      </w:r>
    </w:p>
    <w:p w14:paraId="1D0D1BE0" w14:textId="77777777" w:rsidR="0000714B" w:rsidRPr="00F2180D" w:rsidRDefault="001C4945" w:rsidP="005A44B9">
      <w:pPr>
        <w:pStyle w:val="BodyText"/>
        <w:numPr>
          <w:ilvl w:val="1"/>
          <w:numId w:val="8"/>
        </w:numPr>
        <w:tabs>
          <w:tab w:val="left" w:pos="2281"/>
        </w:tabs>
        <w:spacing w:line="360" w:lineRule="auto"/>
        <w:ind w:left="360" w:right="1985"/>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All chronic relapsing illnesses with a history of previous hospitalization</w:t>
      </w:r>
    </w:p>
    <w:p w14:paraId="1AF31A72" w14:textId="77777777" w:rsidR="0000714B" w:rsidRPr="00F2180D" w:rsidRDefault="001C4945" w:rsidP="005A44B9">
      <w:pPr>
        <w:pStyle w:val="BodyText"/>
        <w:numPr>
          <w:ilvl w:val="1"/>
          <w:numId w:val="8"/>
        </w:numPr>
        <w:tabs>
          <w:tab w:val="left" w:pos="2281"/>
        </w:tabs>
        <w:spacing w:line="360" w:lineRule="auto"/>
        <w:ind w:left="360" w:right="855"/>
        <w:jc w:val="both"/>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Individuals who have recurrent illnesses and/or a p</w:t>
      </w:r>
      <w:r w:rsidR="002463D2" w:rsidRPr="00F2180D">
        <w:rPr>
          <w:rFonts w:ascii="CeraGR-Regular" w:eastAsiaTheme="minorHAnsi" w:hAnsi="CeraGR-Regular" w:cs="CeraGR-Regular"/>
          <w:color w:val="474746"/>
          <w:sz w:val="18"/>
          <w:szCs w:val="18"/>
        </w:rPr>
        <w:t xml:space="preserve">attern of going from one crisis </w:t>
      </w:r>
      <w:r w:rsidRPr="00F2180D">
        <w:rPr>
          <w:rFonts w:ascii="CeraGR-Regular" w:eastAsiaTheme="minorHAnsi" w:hAnsi="CeraGR-Regular" w:cs="CeraGR-Regular"/>
          <w:color w:val="474746"/>
          <w:sz w:val="18"/>
          <w:szCs w:val="18"/>
        </w:rPr>
        <w:t>to another and have not been responsive to short- term intervention</w:t>
      </w:r>
    </w:p>
    <w:p w14:paraId="7B4A587C" w14:textId="77777777" w:rsidR="0000714B" w:rsidRPr="00F2180D" w:rsidRDefault="0000714B" w:rsidP="006F77EF">
      <w:pPr>
        <w:spacing w:before="1" w:line="360" w:lineRule="auto"/>
        <w:rPr>
          <w:rFonts w:ascii="CeraGR-Regular" w:hAnsi="CeraGR-Regular" w:cs="CeraGR-Regular"/>
          <w:color w:val="474746"/>
          <w:sz w:val="18"/>
          <w:szCs w:val="18"/>
        </w:rPr>
      </w:pPr>
    </w:p>
    <w:p w14:paraId="6E317B6A" w14:textId="77777777" w:rsidR="0000714B" w:rsidRPr="00F2180D" w:rsidRDefault="001C4945" w:rsidP="005A44B9">
      <w:pPr>
        <w:pStyle w:val="BodyText"/>
        <w:spacing w:line="360" w:lineRule="auto"/>
        <w:ind w:left="0" w:right="235"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Remember, providers should not practice outside of their scope of their training or outside of the EAP standards. Provide appropriate referrals for specific resources, specialized treatment, and long-term counseling.</w:t>
      </w:r>
    </w:p>
    <w:p w14:paraId="7B5880C6" w14:textId="77777777" w:rsidR="009E079B" w:rsidRPr="009601B3" w:rsidRDefault="009E079B">
      <w:pPr>
        <w:spacing w:before="1"/>
        <w:rPr>
          <w:rFonts w:ascii="Garamond" w:eastAsia="Garamond" w:hAnsi="Garamond" w:cs="Garamond"/>
          <w:sz w:val="27"/>
          <w:szCs w:val="27"/>
        </w:rPr>
      </w:pPr>
    </w:p>
    <w:p w14:paraId="0D512218" w14:textId="77777777" w:rsidR="0000714B" w:rsidRPr="009216D5" w:rsidRDefault="001C4945" w:rsidP="005A44B9">
      <w:pPr>
        <w:pStyle w:val="Heading2"/>
        <w:numPr>
          <w:ilvl w:val="0"/>
          <w:numId w:val="8"/>
        </w:numPr>
        <w:ind w:right="1741"/>
        <w:jc w:val="left"/>
        <w:rPr>
          <w:rFonts w:ascii="CeraGR-Regular" w:eastAsiaTheme="minorHAnsi" w:hAnsi="CeraGR-Regular" w:cs="CeraGR-Regular"/>
          <w:bCs w:val="0"/>
          <w:color w:val="1F354D"/>
          <w:sz w:val="24"/>
          <w:szCs w:val="24"/>
        </w:rPr>
      </w:pPr>
      <w:bookmarkStart w:id="4" w:name="_bookmark4"/>
      <w:bookmarkEnd w:id="4"/>
      <w:r w:rsidRPr="009216D5">
        <w:rPr>
          <w:rFonts w:ascii="CeraGR-Regular" w:eastAsiaTheme="minorHAnsi" w:hAnsi="CeraGR-Regular" w:cs="CeraGR-Regular"/>
          <w:bCs w:val="0"/>
          <w:color w:val="1F354D"/>
          <w:sz w:val="24"/>
          <w:szCs w:val="24"/>
        </w:rPr>
        <w:t>FORMAL MANAGEMENT REFERRAL / MANDATED TREATMENT PROCESS</w:t>
      </w:r>
    </w:p>
    <w:p w14:paraId="7C95B76D" w14:textId="77777777" w:rsidR="006D4323" w:rsidRPr="009601B3" w:rsidRDefault="006D4323" w:rsidP="009601B3">
      <w:pPr>
        <w:pStyle w:val="BodyText"/>
        <w:ind w:left="2275" w:right="130"/>
        <w:rPr>
          <w:rFonts w:eastAsiaTheme="minorHAnsi" w:cs="CeraGR-Regular"/>
          <w:color w:val="6D6E71"/>
          <w:sz w:val="24"/>
          <w:szCs w:val="24"/>
        </w:rPr>
      </w:pPr>
    </w:p>
    <w:p w14:paraId="16AAC018" w14:textId="1AF8FB60" w:rsidR="002C7476" w:rsidRPr="00614D5F" w:rsidRDefault="001C4945" w:rsidP="005A44B9">
      <w:pPr>
        <w:pStyle w:val="BodyText"/>
        <w:spacing w:line="360" w:lineRule="auto"/>
        <w:ind w:left="0" w:right="123"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Some employers allow supervisors to mandate employees to receive counseling through the EAP </w:t>
      </w:r>
      <w:r w:rsidR="00337BEE" w:rsidRPr="00F2180D">
        <w:rPr>
          <w:rFonts w:ascii="CeraGR-Regular" w:eastAsiaTheme="minorHAnsi" w:hAnsi="CeraGR-Regular" w:cs="CeraGR-Regular"/>
          <w:color w:val="474746"/>
          <w:sz w:val="18"/>
          <w:szCs w:val="18"/>
        </w:rPr>
        <w:t>to</w:t>
      </w:r>
      <w:r w:rsidRPr="00F2180D">
        <w:rPr>
          <w:rFonts w:ascii="CeraGR-Regular" w:eastAsiaTheme="minorHAnsi" w:hAnsi="CeraGR-Regular" w:cs="CeraGR-Regular"/>
          <w:color w:val="474746"/>
          <w:sz w:val="18"/>
          <w:szCs w:val="18"/>
        </w:rPr>
        <w:t xml:space="preserve"> address job performance problems. These mandated referrals, known as “Formal Supervisor Referrals”</w:t>
      </w:r>
      <w:r w:rsidR="00A012AC">
        <w:rPr>
          <w:rFonts w:ascii="CeraGR-Regular" w:eastAsiaTheme="minorHAnsi" w:hAnsi="CeraGR-Regular" w:cs="CeraGR-Regular"/>
          <w:color w:val="474746"/>
          <w:sz w:val="18"/>
          <w:szCs w:val="18"/>
        </w:rPr>
        <w:t xml:space="preserve"> or “management referrals” </w:t>
      </w:r>
      <w:r w:rsidR="00A012AC" w:rsidRPr="00F2180D">
        <w:rPr>
          <w:rFonts w:ascii="CeraGR-Regular" w:eastAsiaTheme="minorHAnsi" w:hAnsi="CeraGR-Regular" w:cs="CeraGR-Regular"/>
          <w:color w:val="474746"/>
          <w:sz w:val="18"/>
          <w:szCs w:val="18"/>
        </w:rPr>
        <w:t>depending on company policies and federal regulations</w:t>
      </w:r>
      <w:r w:rsidR="00A012AC">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are usually part of a disciplinary process aimed at restoring an employee to acceptable levels of performance. EAP clinicians can:</w:t>
      </w:r>
    </w:p>
    <w:p w14:paraId="2F9816FC"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Help employees gain insight regarding their problems</w:t>
      </w:r>
    </w:p>
    <w:p w14:paraId="78B69936" w14:textId="77777777" w:rsidR="002463D2" w:rsidRPr="002C7476" w:rsidRDefault="001C4945" w:rsidP="005A44B9">
      <w:pPr>
        <w:pStyle w:val="BodyText"/>
        <w:numPr>
          <w:ilvl w:val="1"/>
          <w:numId w:val="8"/>
        </w:numPr>
        <w:spacing w:line="360" w:lineRule="auto"/>
        <w:ind w:left="360" w:right="235"/>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Teach skills (e.g., anger management, communication) that will improve employee functioning in future</w:t>
      </w:r>
    </w:p>
    <w:p w14:paraId="10209A64"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Detect early signs of more serious problems</w:t>
      </w:r>
    </w:p>
    <w:p w14:paraId="4DCFA5D9" w14:textId="77777777" w:rsidR="0000714B" w:rsidRPr="00F2180D" w:rsidRDefault="001C4945" w:rsidP="005A44B9">
      <w:pPr>
        <w:pStyle w:val="BodyText"/>
        <w:numPr>
          <w:ilvl w:val="1"/>
          <w:numId w:val="8"/>
        </w:numPr>
        <w:spacing w:line="360" w:lineRule="auto"/>
        <w:ind w:left="360" w:right="497"/>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Link employees with community resources that are cost-effective and helpful</w:t>
      </w:r>
    </w:p>
    <w:p w14:paraId="321A6686" w14:textId="161CA910" w:rsidR="0000714B" w:rsidRPr="00F2180D" w:rsidRDefault="001C4945" w:rsidP="005A44B9">
      <w:pPr>
        <w:pStyle w:val="BodyText"/>
        <w:spacing w:before="228" w:line="360" w:lineRule="auto"/>
        <w:ind w:left="0" w:right="147"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Purpose of Formal Supervisor Referrals.</w:t>
      </w:r>
      <w:r w:rsidRPr="00F2180D">
        <w:rPr>
          <w:rFonts w:cs="Garamond"/>
          <w:b/>
          <w:bCs/>
          <w:color w:val="1F354D"/>
          <w:spacing w:val="-3"/>
          <w:sz w:val="18"/>
          <w:szCs w:val="18"/>
        </w:rPr>
        <w:t xml:space="preserve"> </w:t>
      </w:r>
      <w:r w:rsidRPr="00F2180D">
        <w:rPr>
          <w:rFonts w:ascii="CeraGR-Regular" w:eastAsiaTheme="minorHAnsi" w:hAnsi="CeraGR-Regular" w:cs="CeraGR-Regular"/>
          <w:color w:val="474746"/>
          <w:sz w:val="18"/>
          <w:szCs w:val="18"/>
        </w:rPr>
        <w:t>The purpose of the EAP in a formal supervisor referral is to assist an employee with job performance issues as presented by the employer. The EAP has two clients, the employee and the employer.  In this case, the</w:t>
      </w:r>
      <w:r w:rsidR="006632C0">
        <w:rPr>
          <w:rFonts w:ascii="CeraGR-Regular" w:eastAsiaTheme="minorHAnsi" w:hAnsi="CeraGR-Regular" w:cs="CeraGR-Regular"/>
          <w:color w:val="474746"/>
          <w:sz w:val="18"/>
          <w:szCs w:val="18"/>
        </w:rPr>
        <w:t xml:space="preserve"> provider’s</w:t>
      </w:r>
      <w:r w:rsidRPr="00F2180D">
        <w:rPr>
          <w:rFonts w:ascii="CeraGR-Regular" w:eastAsiaTheme="minorHAnsi" w:hAnsi="CeraGR-Regular" w:cs="CeraGR-Regular"/>
          <w:color w:val="474746"/>
          <w:sz w:val="18"/>
          <w:szCs w:val="18"/>
        </w:rPr>
        <w:t xml:space="preserve"> focus is on the employee’s role in improving his/her job performance or conduct, and not on management. While management may be a factor, this </w:t>
      </w:r>
      <w:r w:rsidR="00A012AC">
        <w:rPr>
          <w:rFonts w:ascii="CeraGR-Regular" w:eastAsiaTheme="minorHAnsi" w:hAnsi="CeraGR-Regular" w:cs="CeraGR-Regular"/>
          <w:color w:val="474746"/>
          <w:sz w:val="18"/>
          <w:szCs w:val="18"/>
        </w:rPr>
        <w:t>may</w:t>
      </w:r>
      <w:r w:rsidRPr="00F2180D">
        <w:rPr>
          <w:rFonts w:ascii="CeraGR-Regular" w:eastAsiaTheme="minorHAnsi" w:hAnsi="CeraGR-Regular" w:cs="CeraGR-Regular"/>
          <w:color w:val="474746"/>
          <w:sz w:val="18"/>
          <w:szCs w:val="18"/>
        </w:rPr>
        <w:t xml:space="preserve"> be discussed directly with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w:t>
      </w:r>
      <w:r w:rsidR="00A012AC" w:rsidRPr="00F2180D">
        <w:rPr>
          <w:rFonts w:ascii="CeraGR-Regular" w:eastAsiaTheme="minorHAnsi" w:hAnsi="CeraGR-Regular" w:cs="CeraGR-Regular"/>
          <w:color w:val="474746"/>
          <w:sz w:val="18"/>
          <w:szCs w:val="18"/>
        </w:rPr>
        <w:t>manager but</w:t>
      </w:r>
      <w:r w:rsidR="00A012AC">
        <w:rPr>
          <w:rFonts w:ascii="CeraGR-Regular" w:eastAsiaTheme="minorHAnsi" w:hAnsi="CeraGR-Regular" w:cs="CeraGR-Regular"/>
          <w:color w:val="474746"/>
          <w:sz w:val="18"/>
          <w:szCs w:val="18"/>
        </w:rPr>
        <w:t xml:space="preserve"> should</w:t>
      </w:r>
      <w:r w:rsidRPr="00F2180D">
        <w:rPr>
          <w:rFonts w:ascii="CeraGR-Regular" w:eastAsiaTheme="minorHAnsi" w:hAnsi="CeraGR-Regular" w:cs="CeraGR-Regular"/>
          <w:color w:val="474746"/>
          <w:sz w:val="18"/>
          <w:szCs w:val="18"/>
        </w:rPr>
        <w:t xml:space="preserve"> not </w:t>
      </w:r>
      <w:r w:rsidR="00A012AC">
        <w:rPr>
          <w:rFonts w:ascii="CeraGR-Regular" w:eastAsiaTheme="minorHAnsi" w:hAnsi="CeraGR-Regular" w:cs="CeraGR-Regular"/>
          <w:color w:val="474746"/>
          <w:sz w:val="18"/>
          <w:szCs w:val="18"/>
        </w:rPr>
        <w:t xml:space="preserve">be </w:t>
      </w:r>
      <w:r w:rsidRPr="00F2180D">
        <w:rPr>
          <w:rFonts w:ascii="CeraGR-Regular" w:eastAsiaTheme="minorHAnsi" w:hAnsi="CeraGR-Regular" w:cs="CeraGR-Regular"/>
          <w:color w:val="474746"/>
          <w:sz w:val="18"/>
          <w:szCs w:val="18"/>
        </w:rPr>
        <w:t>the primary focus of the treatment with the employee.</w:t>
      </w:r>
    </w:p>
    <w:p w14:paraId="39DC03B6" w14:textId="77777777" w:rsidR="0000714B" w:rsidRPr="00F2180D" w:rsidRDefault="0000714B" w:rsidP="005A44B9">
      <w:pPr>
        <w:spacing w:before="11" w:line="360" w:lineRule="auto"/>
        <w:rPr>
          <w:rFonts w:ascii="CeraGR-Regular" w:hAnsi="CeraGR-Regular" w:cs="CeraGR-Regular"/>
          <w:color w:val="474746"/>
          <w:sz w:val="18"/>
          <w:szCs w:val="18"/>
        </w:rPr>
      </w:pPr>
    </w:p>
    <w:p w14:paraId="48873F93" w14:textId="782376AA" w:rsidR="0000714B" w:rsidRPr="00337BEE" w:rsidRDefault="001C4945" w:rsidP="005A44B9">
      <w:pPr>
        <w:pStyle w:val="BodyText"/>
        <w:spacing w:line="360" w:lineRule="auto"/>
        <w:ind w:left="0" w:right="147"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A formal supervisor referral requires the employee to sign a limited release of information form so his/her supervisor knows </w:t>
      </w:r>
      <w:r w:rsidR="006E409A">
        <w:rPr>
          <w:rFonts w:ascii="CeraGR-Regular" w:eastAsiaTheme="minorHAnsi" w:hAnsi="CeraGR-Regular" w:cs="CeraGR-Regular"/>
          <w:color w:val="474746"/>
          <w:sz w:val="18"/>
          <w:szCs w:val="18"/>
        </w:rPr>
        <w:t>s/he</w:t>
      </w:r>
      <w:r w:rsidRPr="00F2180D">
        <w:rPr>
          <w:rFonts w:ascii="CeraGR-Regular" w:eastAsiaTheme="minorHAnsi" w:hAnsi="CeraGR-Regular" w:cs="CeraGR-Regular"/>
          <w:color w:val="474746"/>
          <w:sz w:val="18"/>
          <w:szCs w:val="18"/>
        </w:rPr>
        <w:t xml:space="preserve"> is attending the EAP and complying with recommendations. </w:t>
      </w:r>
      <w:r w:rsidR="00337BEE" w:rsidRPr="00F2180D">
        <w:rPr>
          <w:rFonts w:ascii="CeraGR-Regular" w:eastAsiaTheme="minorHAnsi" w:hAnsi="CeraGR-Regular" w:cs="CeraGR-Regular"/>
          <w:color w:val="474746"/>
          <w:sz w:val="18"/>
          <w:szCs w:val="18"/>
        </w:rPr>
        <w:t>Typically,</w:t>
      </w:r>
      <w:r w:rsidRPr="00F2180D">
        <w:rPr>
          <w:rFonts w:ascii="CeraGR-Regular" w:eastAsiaTheme="minorHAnsi" w:hAnsi="CeraGR-Regular" w:cs="CeraGR-Regular"/>
          <w:color w:val="474746"/>
          <w:sz w:val="18"/>
          <w:szCs w:val="18"/>
        </w:rPr>
        <w:t xml:space="preserve"> this is done prior to your seeing the client using a form provided by McLaughlin Young.</w:t>
      </w:r>
    </w:p>
    <w:p w14:paraId="079EB7CF" w14:textId="77777777" w:rsidR="00614D5F" w:rsidRDefault="00614D5F" w:rsidP="005A44B9">
      <w:pPr>
        <w:pStyle w:val="BodyText"/>
        <w:spacing w:line="360" w:lineRule="auto"/>
        <w:ind w:left="0" w:right="147" w:firstLine="0"/>
        <w:rPr>
          <w:rFonts w:ascii="CeraGR-Regular" w:eastAsiaTheme="minorHAnsi" w:hAnsi="CeraGR-Regular" w:cs="CeraGR-Regular"/>
          <w:color w:val="474746"/>
          <w:sz w:val="18"/>
          <w:szCs w:val="18"/>
        </w:rPr>
      </w:pPr>
    </w:p>
    <w:p w14:paraId="6EFE25A9" w14:textId="4CCD74D9" w:rsidR="0000714B" w:rsidRPr="00F2180D" w:rsidRDefault="001C4945" w:rsidP="005A44B9">
      <w:pPr>
        <w:pStyle w:val="BodyText"/>
        <w:spacing w:line="360" w:lineRule="auto"/>
        <w:ind w:left="0" w:right="147"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Some formal supervisor referrals are a condition of continued employment. </w:t>
      </w:r>
      <w:r w:rsidR="00337BEE" w:rsidRPr="00F2180D">
        <w:rPr>
          <w:rFonts w:ascii="CeraGR-Regular" w:eastAsiaTheme="minorHAnsi" w:hAnsi="CeraGR-Regular" w:cs="CeraGR-Regular"/>
          <w:color w:val="474746"/>
          <w:sz w:val="18"/>
          <w:szCs w:val="18"/>
        </w:rPr>
        <w:t>Typically,</w:t>
      </w:r>
      <w:r w:rsidRPr="00F2180D">
        <w:rPr>
          <w:rFonts w:ascii="CeraGR-Regular" w:eastAsiaTheme="minorHAnsi" w:hAnsi="CeraGR-Regular" w:cs="CeraGR-Regular"/>
          <w:color w:val="474746"/>
          <w:sz w:val="18"/>
          <w:szCs w:val="18"/>
        </w:rPr>
        <w:t xml:space="preserve"> these cases involve substance abuse or some other serious offense and involve a last chance </w:t>
      </w:r>
      <w:r w:rsidR="002463D2" w:rsidRPr="00F2180D">
        <w:rPr>
          <w:rFonts w:ascii="CeraGR-Regular" w:eastAsiaTheme="minorHAnsi" w:hAnsi="CeraGR-Regular" w:cs="CeraGR-Regular"/>
          <w:color w:val="474746"/>
          <w:sz w:val="18"/>
          <w:szCs w:val="18"/>
        </w:rPr>
        <w:t>agreement for</w:t>
      </w:r>
      <w:r w:rsidRPr="00F2180D">
        <w:rPr>
          <w:rFonts w:ascii="CeraGR-Regular" w:eastAsiaTheme="minorHAnsi" w:hAnsi="CeraGR-Regular" w:cs="CeraGR-Regular"/>
          <w:color w:val="474746"/>
          <w:sz w:val="18"/>
          <w:szCs w:val="18"/>
        </w:rPr>
        <w:t xml:space="preserve"> the employee. At this point, the HR manager or supervisor is negotiating the policies and procedures o</w:t>
      </w:r>
      <w:r w:rsidR="00B8100D">
        <w:rPr>
          <w:rFonts w:ascii="CeraGR-Regular" w:eastAsiaTheme="minorHAnsi" w:hAnsi="CeraGR-Regular" w:cs="CeraGR-Regular"/>
          <w:color w:val="474746"/>
          <w:sz w:val="18"/>
          <w:szCs w:val="18"/>
        </w:rPr>
        <w:t>f</w:t>
      </w:r>
      <w:r w:rsidRPr="00F2180D">
        <w:rPr>
          <w:rFonts w:ascii="CeraGR-Regular" w:eastAsiaTheme="minorHAnsi" w:hAnsi="CeraGR-Regular" w:cs="CeraGR-Regular"/>
          <w:color w:val="474746"/>
          <w:sz w:val="18"/>
          <w:szCs w:val="18"/>
        </w:rPr>
        <w:t xml:space="preserve"> the employer, while at the same time trying to provide support for the employee.</w:t>
      </w:r>
    </w:p>
    <w:p w14:paraId="26F7BDB5" w14:textId="77777777" w:rsidR="002463D2" w:rsidRPr="00F2180D" w:rsidRDefault="002463D2" w:rsidP="005A44B9">
      <w:pPr>
        <w:pStyle w:val="BodyText"/>
        <w:spacing w:line="360" w:lineRule="auto"/>
        <w:ind w:left="0" w:right="147" w:firstLine="0"/>
        <w:rPr>
          <w:rFonts w:ascii="CeraGR-Regular" w:eastAsiaTheme="minorHAnsi" w:hAnsi="CeraGR-Regular" w:cs="CeraGR-Regular"/>
          <w:color w:val="6D6E71"/>
          <w:sz w:val="18"/>
          <w:szCs w:val="18"/>
        </w:rPr>
      </w:pPr>
    </w:p>
    <w:p w14:paraId="09357F3B" w14:textId="3DECA397" w:rsidR="009E079B" w:rsidRPr="00F2180D" w:rsidRDefault="001C4945" w:rsidP="005A44B9">
      <w:pPr>
        <w:pStyle w:val="BodyText"/>
        <w:spacing w:line="360" w:lineRule="auto"/>
        <w:ind w:left="0" w:right="147"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Substance Abuse Issues.</w:t>
      </w:r>
      <w:r w:rsidRPr="00F2180D">
        <w:rPr>
          <w:b/>
          <w:color w:val="1F354D"/>
          <w:spacing w:val="69"/>
          <w:sz w:val="18"/>
          <w:szCs w:val="18"/>
        </w:rPr>
        <w:t xml:space="preserve"> </w:t>
      </w:r>
      <w:r w:rsidRPr="00F2180D">
        <w:rPr>
          <w:rFonts w:ascii="CeraGR-Regular" w:eastAsiaTheme="minorHAnsi" w:hAnsi="CeraGR-Regular" w:cs="CeraGR-Regular"/>
          <w:color w:val="474746"/>
          <w:sz w:val="18"/>
          <w:szCs w:val="18"/>
        </w:rPr>
        <w:t xml:space="preserve">Individuals presenting with certain substance abuse/dependency issues may be appropriate candidates for EAP as the initial service option when an employee receives a formal supervisor referral. In addition, EAP can be of </w:t>
      </w:r>
      <w:r w:rsidR="0069143C">
        <w:rPr>
          <w:rFonts w:ascii="CeraGR-Regular" w:eastAsiaTheme="minorHAnsi" w:hAnsi="CeraGR-Regular" w:cs="CeraGR-Regular"/>
          <w:color w:val="474746"/>
          <w:sz w:val="18"/>
          <w:szCs w:val="18"/>
        </w:rPr>
        <w:t>assistance when an individual has relapsed and the most appropriate intervention is education and linkage to appropriate support systems.</w:t>
      </w:r>
    </w:p>
    <w:p w14:paraId="645EAFEE" w14:textId="77777777" w:rsidR="006D4323" w:rsidRPr="00F2180D" w:rsidRDefault="006D4323" w:rsidP="005A44B9">
      <w:pPr>
        <w:spacing w:before="1" w:line="360" w:lineRule="auto"/>
        <w:rPr>
          <w:rFonts w:ascii="CeraGR-Regular" w:hAnsi="CeraGR-Regular" w:cs="CeraGR-Regular"/>
          <w:color w:val="474746"/>
          <w:sz w:val="18"/>
          <w:szCs w:val="18"/>
        </w:rPr>
      </w:pPr>
    </w:p>
    <w:p w14:paraId="1F9031D4" w14:textId="77777777" w:rsidR="0000714B" w:rsidRPr="00F2180D" w:rsidRDefault="001C4945" w:rsidP="005A44B9">
      <w:pPr>
        <w:pStyle w:val="BodyText"/>
        <w:spacing w:line="360" w:lineRule="auto"/>
        <w:ind w:left="0"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The referral may result from:</w:t>
      </w:r>
    </w:p>
    <w:p w14:paraId="79D448DC"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 positive random alcohol or drug screen</w:t>
      </w:r>
    </w:p>
    <w:p w14:paraId="5FFC1EA0"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 positive alcohol or drug screen after a for-cause test</w:t>
      </w:r>
    </w:p>
    <w:p w14:paraId="662FBFF5"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 positive alcohol or drug screen post-accident</w:t>
      </w:r>
    </w:p>
    <w:p w14:paraId="50E4000E"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A fitness-for-duty related issue</w:t>
      </w:r>
    </w:p>
    <w:p w14:paraId="55E3020F"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Internal policy/procedure requirements of the client company</w:t>
      </w:r>
    </w:p>
    <w:p w14:paraId="00D2E5A6" w14:textId="77777777" w:rsidR="0000714B" w:rsidRPr="00F2180D" w:rsidRDefault="001C4945" w:rsidP="005A44B9">
      <w:pPr>
        <w:pStyle w:val="BodyText"/>
        <w:numPr>
          <w:ilvl w:val="1"/>
          <w:numId w:val="8"/>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Self-referral</w:t>
      </w:r>
    </w:p>
    <w:p w14:paraId="35C0CFDF" w14:textId="49928E6D" w:rsidR="002C7476" w:rsidRPr="002C7476" w:rsidRDefault="001C4945" w:rsidP="005A44B9">
      <w:pPr>
        <w:pStyle w:val="BodyText"/>
        <w:spacing w:before="228" w:line="360" w:lineRule="auto"/>
        <w:ind w:left="0" w:right="123"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Assessment Sessions and Termination of EAP Services.</w:t>
      </w:r>
      <w:r w:rsidRPr="00F2180D">
        <w:rPr>
          <w:b/>
          <w:color w:val="1F354D"/>
          <w:spacing w:val="-1"/>
          <w:sz w:val="18"/>
          <w:szCs w:val="18"/>
        </w:rPr>
        <w:t xml:space="preserve"> </w:t>
      </w:r>
      <w:r w:rsidRPr="00F2180D">
        <w:rPr>
          <w:rFonts w:ascii="CeraGR-Regular" w:eastAsiaTheme="minorHAnsi" w:hAnsi="CeraGR-Regular" w:cs="CeraGR-Regular"/>
          <w:color w:val="474746"/>
          <w:sz w:val="18"/>
          <w:szCs w:val="18"/>
        </w:rPr>
        <w:t xml:space="preserve">In the case of formal supervisor referrals, please see the client for a minimum of two sessions, discuss any recommendations and/or </w:t>
      </w:r>
      <w:r w:rsidR="00337BEE" w:rsidRPr="00F2180D">
        <w:rPr>
          <w:rFonts w:ascii="CeraGR-Regular" w:eastAsiaTheme="minorHAnsi" w:hAnsi="CeraGR-Regular" w:cs="CeraGR-Regular"/>
          <w:color w:val="474746"/>
          <w:sz w:val="18"/>
          <w:szCs w:val="18"/>
        </w:rPr>
        <w:t>short-term</w:t>
      </w:r>
      <w:r w:rsidRPr="00F2180D">
        <w:rPr>
          <w:rFonts w:ascii="CeraGR-Regular" w:eastAsiaTheme="minorHAnsi" w:hAnsi="CeraGR-Regular" w:cs="CeraGR-Regular"/>
          <w:color w:val="474746"/>
          <w:sz w:val="18"/>
          <w:szCs w:val="18"/>
        </w:rPr>
        <w:t xml:space="preserve"> goals with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prior to discussing with client, and do not release the client from treatment without first consulting with the case manager.</w:t>
      </w:r>
    </w:p>
    <w:p w14:paraId="40F36B30" w14:textId="77777777" w:rsidR="002C7476" w:rsidRDefault="002C7476" w:rsidP="005A44B9">
      <w:pPr>
        <w:pStyle w:val="BodyText"/>
        <w:spacing w:line="360" w:lineRule="auto"/>
        <w:ind w:left="0" w:right="190" w:firstLine="0"/>
        <w:rPr>
          <w:rFonts w:ascii="Centrale Sans Regular" w:eastAsiaTheme="minorEastAsia" w:hAnsi="Centrale Sans Regular"/>
          <w:b/>
          <w:color w:val="1F354D"/>
          <w:sz w:val="18"/>
          <w:szCs w:val="18"/>
        </w:rPr>
      </w:pPr>
    </w:p>
    <w:p w14:paraId="5563F930" w14:textId="31E9D340" w:rsidR="0000714B" w:rsidRPr="002C7476" w:rsidRDefault="001C4945" w:rsidP="005A44B9">
      <w:pPr>
        <w:pStyle w:val="BodyText"/>
        <w:spacing w:line="360" w:lineRule="auto"/>
        <w:ind w:left="0" w:right="19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 xml:space="preserve">Communication with </w:t>
      </w:r>
      <w:r w:rsidR="00FD6744">
        <w:rPr>
          <w:rFonts w:ascii="Centrale Sans Regular" w:eastAsiaTheme="minorEastAsia" w:hAnsi="Centrale Sans Regular"/>
          <w:b/>
          <w:color w:val="1F354D"/>
          <w:sz w:val="18"/>
          <w:szCs w:val="18"/>
        </w:rPr>
        <w:t>MYgroup</w:t>
      </w:r>
      <w:r w:rsidRPr="00F2180D">
        <w:rPr>
          <w:rFonts w:ascii="Centrale Sans Regular" w:eastAsiaTheme="minorEastAsia" w:hAnsi="Centrale Sans Regular"/>
          <w:b/>
          <w:color w:val="1F354D"/>
          <w:sz w:val="18"/>
          <w:szCs w:val="18"/>
        </w:rPr>
        <w:t xml:space="preserve"> Case Manager.</w:t>
      </w:r>
      <w:r w:rsidRPr="00F2180D">
        <w:rPr>
          <w:b/>
          <w:color w:val="1F354D"/>
          <w:spacing w:val="-2"/>
          <w:sz w:val="18"/>
          <w:szCs w:val="18"/>
        </w:rPr>
        <w:t xml:space="preserve"> </w:t>
      </w:r>
      <w:r w:rsidRPr="00F2180D">
        <w:rPr>
          <w:rFonts w:ascii="CeraGR-Regular" w:eastAsiaTheme="minorHAnsi" w:hAnsi="CeraGR-Regular" w:cs="CeraGR-Regular"/>
          <w:color w:val="474746"/>
          <w:sz w:val="18"/>
          <w:szCs w:val="18"/>
        </w:rPr>
        <w:t>After each session, inform the case manager regarding attendance, level of participation, working towards stated goals, and next appointment date.</w:t>
      </w:r>
    </w:p>
    <w:p w14:paraId="775B7DBA" w14:textId="77777777" w:rsidR="002C7476" w:rsidRDefault="002C7476" w:rsidP="005A44B9">
      <w:pPr>
        <w:pStyle w:val="BodyText"/>
        <w:spacing w:line="360" w:lineRule="auto"/>
        <w:ind w:left="0" w:right="190" w:firstLine="0"/>
        <w:rPr>
          <w:rFonts w:ascii="Centrale Sans Regular" w:eastAsiaTheme="minorEastAsia" w:hAnsi="Centrale Sans Regular"/>
          <w:b/>
          <w:color w:val="1F354D"/>
          <w:sz w:val="18"/>
          <w:szCs w:val="18"/>
        </w:rPr>
      </w:pPr>
    </w:p>
    <w:p w14:paraId="0BF339DE" w14:textId="61342D70" w:rsidR="0000714B" w:rsidRPr="00F2180D" w:rsidRDefault="001C4945" w:rsidP="005A44B9">
      <w:pPr>
        <w:pStyle w:val="BodyText"/>
        <w:spacing w:line="360" w:lineRule="auto"/>
        <w:ind w:left="0" w:right="190"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Communication with Employer.</w:t>
      </w:r>
      <w:r w:rsidRPr="00F2180D">
        <w:rPr>
          <w:rFonts w:cs="Garamond"/>
          <w:b/>
          <w:bCs/>
          <w:color w:val="1F354D"/>
          <w:sz w:val="18"/>
          <w:szCs w:val="18"/>
        </w:rPr>
        <w:t xml:space="preserve"> </w:t>
      </w:r>
      <w:r w:rsidRPr="00F2180D">
        <w:rPr>
          <w:rFonts w:ascii="CeraGR-Regular" w:eastAsiaTheme="minorHAnsi" w:hAnsi="CeraGR-Regular" w:cs="CeraGR-Regular"/>
          <w:color w:val="474746"/>
          <w:sz w:val="18"/>
          <w:szCs w:val="18"/>
        </w:rPr>
        <w:t xml:space="preserve">All communication with the client’s company is through the case manager. </w:t>
      </w:r>
      <w:r w:rsidR="00AF0312">
        <w:rPr>
          <w:rFonts w:ascii="CeraGR-Regular" w:eastAsiaTheme="minorHAnsi" w:hAnsi="CeraGR-Regular" w:cs="CeraGR-Regular"/>
          <w:color w:val="474746"/>
          <w:sz w:val="18"/>
          <w:szCs w:val="18"/>
        </w:rPr>
        <w:t>D</w:t>
      </w:r>
      <w:r w:rsidRPr="00F2180D">
        <w:rPr>
          <w:rFonts w:ascii="CeraGR-Regular" w:eastAsiaTheme="minorHAnsi" w:hAnsi="CeraGR-Regular" w:cs="CeraGR-Regular"/>
          <w:color w:val="474746"/>
          <w:sz w:val="18"/>
          <w:szCs w:val="18"/>
        </w:rPr>
        <w:t>o not contact the client’s company even if requested by the client. If the client requests that you contact his/her employer, contact the EAP case manager to discuss.</w:t>
      </w:r>
    </w:p>
    <w:p w14:paraId="0CFF9F57" w14:textId="77777777" w:rsidR="006D4323" w:rsidRPr="00F2180D" w:rsidRDefault="006D4323" w:rsidP="005A44B9">
      <w:pPr>
        <w:pStyle w:val="BodyText"/>
        <w:spacing w:line="360" w:lineRule="auto"/>
        <w:ind w:left="0" w:right="190" w:firstLine="0"/>
        <w:rPr>
          <w:rFonts w:ascii="CeraGR-Regular" w:eastAsiaTheme="minorHAnsi" w:hAnsi="CeraGR-Regular" w:cs="CeraGR-Regular"/>
          <w:color w:val="6D6E71"/>
          <w:sz w:val="18"/>
          <w:szCs w:val="18"/>
        </w:rPr>
      </w:pPr>
    </w:p>
    <w:p w14:paraId="45908E18" w14:textId="02E06826" w:rsidR="0000714B" w:rsidRPr="00F2180D" w:rsidRDefault="001C4945" w:rsidP="005A44B9">
      <w:pPr>
        <w:spacing w:line="360" w:lineRule="auto"/>
        <w:ind w:right="144"/>
        <w:rPr>
          <w:rFonts w:ascii="CeraGR-Regular" w:hAnsi="CeraGR-Regular" w:cs="CeraGR-Regular"/>
          <w:color w:val="474746"/>
          <w:sz w:val="18"/>
          <w:szCs w:val="18"/>
        </w:rPr>
      </w:pPr>
      <w:r w:rsidRPr="00F2180D">
        <w:rPr>
          <w:rFonts w:ascii="Centrale Sans Regular" w:eastAsiaTheme="minorEastAsia" w:hAnsi="Centrale Sans Regular"/>
          <w:b/>
          <w:color w:val="1F354D"/>
          <w:sz w:val="18"/>
          <w:szCs w:val="18"/>
        </w:rPr>
        <w:t>Communicating with Treatment Providers.</w:t>
      </w:r>
      <w:r w:rsidRPr="00F2180D">
        <w:rPr>
          <w:rFonts w:ascii="Garamond"/>
          <w:b/>
          <w:color w:val="1F354D"/>
          <w:spacing w:val="-2"/>
          <w:sz w:val="18"/>
          <w:szCs w:val="18"/>
        </w:rPr>
        <w:t xml:space="preserve"> </w:t>
      </w:r>
      <w:r w:rsidRPr="00F2180D">
        <w:rPr>
          <w:rFonts w:ascii="CeraGR-Regular" w:hAnsi="CeraGR-Regular" w:cs="CeraGR-Regular"/>
          <w:color w:val="474746"/>
          <w:sz w:val="18"/>
          <w:szCs w:val="18"/>
        </w:rPr>
        <w:t>If the EAP assessment warrants a referral to a</w:t>
      </w:r>
      <w:r w:rsidR="00AF0312">
        <w:rPr>
          <w:rFonts w:ascii="CeraGR-Regular" w:hAnsi="CeraGR-Regular" w:cs="CeraGR-Regular"/>
          <w:color w:val="474746"/>
          <w:sz w:val="18"/>
          <w:szCs w:val="18"/>
        </w:rPr>
        <w:t>nother</w:t>
      </w:r>
      <w:r w:rsidRPr="00F2180D">
        <w:rPr>
          <w:rFonts w:ascii="CeraGR-Regular" w:hAnsi="CeraGR-Regular" w:cs="CeraGR-Regular"/>
          <w:color w:val="474746"/>
          <w:sz w:val="18"/>
          <w:szCs w:val="18"/>
        </w:rPr>
        <w:t xml:space="preserve"> treatment provider, assi</w:t>
      </w:r>
      <w:r w:rsidR="002463D2" w:rsidRPr="00F2180D">
        <w:rPr>
          <w:rFonts w:ascii="CeraGR-Regular" w:hAnsi="CeraGR-Regular" w:cs="CeraGR-Regular"/>
          <w:color w:val="474746"/>
          <w:sz w:val="18"/>
          <w:szCs w:val="18"/>
        </w:rPr>
        <w:t>st client and case manager with</w:t>
      </w:r>
      <w:r w:rsidRPr="00F2180D">
        <w:rPr>
          <w:rFonts w:ascii="CeraGR-Regular" w:hAnsi="CeraGR-Regular" w:cs="CeraGR-Regular"/>
          <w:color w:val="474746"/>
          <w:sz w:val="18"/>
          <w:szCs w:val="18"/>
        </w:rPr>
        <w:t xml:space="preserve"> this transition by providing the following:</w:t>
      </w:r>
    </w:p>
    <w:p w14:paraId="55A7FF1E" w14:textId="50A3CF87" w:rsidR="0000714B" w:rsidRPr="00F2180D" w:rsidRDefault="001C4945" w:rsidP="005A44B9">
      <w:pPr>
        <w:pStyle w:val="BodyText"/>
        <w:numPr>
          <w:ilvl w:val="0"/>
          <w:numId w:val="3"/>
        </w:numPr>
        <w:spacing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A signed release for </w:t>
      </w:r>
      <w:r w:rsidR="00B8100D">
        <w:rPr>
          <w:rFonts w:ascii="CeraGR-Regular" w:eastAsiaTheme="minorHAnsi" w:hAnsi="CeraGR-Regular" w:cs="CeraGR-Regular"/>
          <w:color w:val="474746"/>
          <w:sz w:val="18"/>
          <w:szCs w:val="18"/>
        </w:rPr>
        <w:t xml:space="preserve">referral </w:t>
      </w:r>
      <w:r w:rsidRPr="00F2180D">
        <w:rPr>
          <w:rFonts w:ascii="CeraGR-Regular" w:eastAsiaTheme="minorHAnsi" w:hAnsi="CeraGR-Regular" w:cs="CeraGR-Regular"/>
          <w:color w:val="474746"/>
          <w:sz w:val="18"/>
          <w:szCs w:val="18"/>
        </w:rPr>
        <w:t>treatment provider to talk to case manager</w:t>
      </w:r>
    </w:p>
    <w:p w14:paraId="28F2F7EB" w14:textId="3247607C" w:rsidR="006F77EF" w:rsidRPr="00F2180D" w:rsidRDefault="001C4945" w:rsidP="005A44B9">
      <w:pPr>
        <w:pStyle w:val="BodyText"/>
        <w:numPr>
          <w:ilvl w:val="0"/>
          <w:numId w:val="3"/>
        </w:numPr>
        <w:spacing w:before="2" w:line="360" w:lineRule="auto"/>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lastRenderedPageBreak/>
        <w:t xml:space="preserve">Name of </w:t>
      </w:r>
      <w:r w:rsidR="00B8100D">
        <w:rPr>
          <w:rFonts w:ascii="CeraGR-Regular" w:eastAsiaTheme="minorHAnsi" w:hAnsi="CeraGR-Regular" w:cs="CeraGR-Regular"/>
          <w:color w:val="474746"/>
          <w:sz w:val="18"/>
          <w:szCs w:val="18"/>
        </w:rPr>
        <w:t>referral treatment provider</w:t>
      </w:r>
      <w:r w:rsidRPr="00F2180D">
        <w:rPr>
          <w:rFonts w:ascii="CeraGR-Regular" w:eastAsiaTheme="minorHAnsi" w:hAnsi="CeraGR-Regular" w:cs="CeraGR-Regular"/>
          <w:color w:val="474746"/>
          <w:sz w:val="18"/>
          <w:szCs w:val="18"/>
        </w:rPr>
        <w:t xml:space="preserve"> and phone number</w:t>
      </w:r>
    </w:p>
    <w:p w14:paraId="0C1DB9EE" w14:textId="77777777" w:rsidR="002463D2" w:rsidRPr="00F2180D" w:rsidRDefault="002463D2" w:rsidP="002463D2">
      <w:pPr>
        <w:pStyle w:val="BodyText"/>
        <w:tabs>
          <w:tab w:val="left" w:pos="2281"/>
        </w:tabs>
        <w:spacing w:before="2" w:line="360" w:lineRule="auto"/>
        <w:ind w:left="1440" w:firstLine="0"/>
        <w:rPr>
          <w:rFonts w:ascii="CeraGR-Regular" w:eastAsiaTheme="minorHAnsi" w:hAnsi="CeraGR-Regular" w:cs="CeraGR-Regular"/>
          <w:color w:val="6D6E71"/>
          <w:sz w:val="18"/>
          <w:szCs w:val="18"/>
        </w:rPr>
      </w:pPr>
    </w:p>
    <w:p w14:paraId="282AD3F4" w14:textId="6B4A9255" w:rsidR="006F0457" w:rsidRPr="00F2180D" w:rsidRDefault="001C4945" w:rsidP="005A44B9">
      <w:pPr>
        <w:pStyle w:val="BodyText"/>
        <w:spacing w:line="360" w:lineRule="auto"/>
        <w:ind w:left="0" w:right="162"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 xml:space="preserve">Remember: The EAP Serves Two Clients. </w:t>
      </w:r>
      <w:r w:rsidRPr="00F2180D">
        <w:rPr>
          <w:rFonts w:ascii="CeraGR-Regular" w:eastAsiaTheme="minorHAnsi" w:hAnsi="CeraGR-Regular" w:cs="CeraGR-Regular"/>
          <w:color w:val="474746"/>
          <w:sz w:val="18"/>
          <w:szCs w:val="18"/>
        </w:rPr>
        <w:t xml:space="preserve">The </w:t>
      </w:r>
      <w:r w:rsidR="005C62C9">
        <w:rPr>
          <w:rFonts w:ascii="CeraGR-Regular" w:eastAsiaTheme="minorHAnsi" w:hAnsi="CeraGR-Regular" w:cs="CeraGR-Regular"/>
          <w:color w:val="474746"/>
          <w:sz w:val="18"/>
          <w:szCs w:val="18"/>
        </w:rPr>
        <w:t xml:space="preserve">Formal </w:t>
      </w:r>
      <w:r w:rsidRPr="00F2180D">
        <w:rPr>
          <w:rFonts w:ascii="CeraGR-Regular" w:eastAsiaTheme="minorHAnsi" w:hAnsi="CeraGR-Regular" w:cs="CeraGR-Regular"/>
          <w:color w:val="474746"/>
          <w:sz w:val="18"/>
          <w:szCs w:val="18"/>
        </w:rPr>
        <w:t xml:space="preserve">Supervisor Referral process relies on the established and impartial relationship between the </w:t>
      </w:r>
      <w:r w:rsidR="00AF0312">
        <w:rPr>
          <w:rFonts w:ascii="CeraGR-Regular" w:eastAsiaTheme="minorHAnsi" w:hAnsi="CeraGR-Regular" w:cs="CeraGR-Regular"/>
          <w:color w:val="474746"/>
          <w:sz w:val="18"/>
          <w:szCs w:val="18"/>
        </w:rPr>
        <w:t>provider</w:t>
      </w:r>
      <w:r w:rsidRPr="00F2180D">
        <w:rPr>
          <w:rFonts w:ascii="CeraGR-Regular" w:eastAsiaTheme="minorHAnsi" w:hAnsi="CeraGR-Regular" w:cs="CeraGR-Regular"/>
          <w:color w:val="474746"/>
          <w:sz w:val="18"/>
          <w:szCs w:val="18"/>
        </w:rPr>
        <w:t xml:space="preserve"> and the</w:t>
      </w:r>
      <w:r w:rsidR="002463D2" w:rsidRPr="00F2180D">
        <w:rPr>
          <w:rFonts w:ascii="CeraGR-Regular" w:eastAsiaTheme="minorHAnsi" w:hAnsi="CeraGR-Regular" w:cs="CeraGR-Regular"/>
          <w:color w:val="474746"/>
          <w:sz w:val="18"/>
          <w:szCs w:val="18"/>
        </w:rPr>
        <w:t xml:space="preserve"> employer and the employee. It is inappropriate </w:t>
      </w:r>
      <w:r w:rsidRPr="00F2180D">
        <w:rPr>
          <w:rFonts w:ascii="CeraGR-Regular" w:eastAsiaTheme="minorHAnsi" w:hAnsi="CeraGR-Regular" w:cs="CeraGR-Regular"/>
          <w:color w:val="474746"/>
          <w:sz w:val="18"/>
          <w:szCs w:val="18"/>
        </w:rPr>
        <w:t>for the provider</w:t>
      </w:r>
      <w:r w:rsidR="00A83714">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to comment on company policy and give information about legal actions against the client’s employer. The goal is to support the employee in improving work performance, which is observable and measurable by the employer.</w:t>
      </w:r>
      <w:r w:rsidR="006F0457" w:rsidRPr="00F2180D">
        <w:rPr>
          <w:rFonts w:cs="Garamond"/>
          <w:color w:val="474746"/>
          <w:sz w:val="18"/>
          <w:szCs w:val="18"/>
        </w:rPr>
        <w:t xml:space="preserve"> </w:t>
      </w:r>
    </w:p>
    <w:p w14:paraId="0E11F742" w14:textId="77777777" w:rsidR="009E079B" w:rsidRPr="00F2180D" w:rsidRDefault="009E079B" w:rsidP="005A44B9">
      <w:pPr>
        <w:pStyle w:val="BodyText"/>
        <w:spacing w:line="360" w:lineRule="auto"/>
        <w:ind w:left="0" w:right="162" w:firstLine="0"/>
        <w:rPr>
          <w:rFonts w:ascii="CeraGR-Regular" w:eastAsiaTheme="minorHAnsi" w:hAnsi="CeraGR-Regular" w:cs="CeraGR-Regular"/>
          <w:color w:val="6D6E71"/>
          <w:sz w:val="18"/>
          <w:szCs w:val="18"/>
        </w:rPr>
      </w:pPr>
    </w:p>
    <w:p w14:paraId="62475A9E" w14:textId="5CABEC45" w:rsidR="006D4323" w:rsidRPr="00F2180D" w:rsidRDefault="006F0457" w:rsidP="005A44B9">
      <w:pPr>
        <w:pStyle w:val="BodyText"/>
        <w:spacing w:line="360" w:lineRule="auto"/>
        <w:ind w:left="0" w:right="162"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Providers </w:t>
      </w:r>
      <w:r w:rsidR="001C4945" w:rsidRPr="00F2180D">
        <w:rPr>
          <w:rFonts w:ascii="CeraGR-Regular" w:eastAsiaTheme="minorHAnsi" w:hAnsi="CeraGR-Regular" w:cs="CeraGR-Regular"/>
          <w:color w:val="474746"/>
          <w:sz w:val="18"/>
          <w:szCs w:val="18"/>
        </w:rPr>
        <w:t xml:space="preserve">are expected to thoroughly assess the client’s situation and progress, indicate participation and compliance of the treatment goals and recommendations to the </w:t>
      </w:r>
      <w:r w:rsidR="00FD6744">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case manager, and consult with </w:t>
      </w:r>
      <w:r w:rsidR="00FD6744">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prior to termination.</w:t>
      </w:r>
    </w:p>
    <w:p w14:paraId="666C4FB7" w14:textId="77777777" w:rsidR="006D4323" w:rsidRDefault="006D4323">
      <w:pPr>
        <w:spacing w:before="10"/>
        <w:rPr>
          <w:rFonts w:ascii="Garamond" w:eastAsia="Garamond" w:hAnsi="Garamond" w:cs="Garamond"/>
          <w:sz w:val="27"/>
          <w:szCs w:val="27"/>
        </w:rPr>
      </w:pPr>
    </w:p>
    <w:p w14:paraId="643B0408" w14:textId="3534B275" w:rsidR="0000714B" w:rsidRPr="009216D5" w:rsidRDefault="001C4945" w:rsidP="005A44B9">
      <w:pPr>
        <w:pStyle w:val="Heading2"/>
        <w:numPr>
          <w:ilvl w:val="0"/>
          <w:numId w:val="8"/>
        </w:numPr>
        <w:jc w:val="left"/>
        <w:rPr>
          <w:b w:val="0"/>
          <w:bCs w:val="0"/>
          <w:color w:val="1F354D"/>
          <w:sz w:val="24"/>
          <w:szCs w:val="24"/>
        </w:rPr>
      </w:pPr>
      <w:bookmarkStart w:id="5" w:name="_bookmark5"/>
      <w:bookmarkEnd w:id="5"/>
      <w:r w:rsidRPr="009216D5">
        <w:rPr>
          <w:rFonts w:ascii="CeraGR-Regular" w:eastAsiaTheme="minorHAnsi" w:hAnsi="CeraGR-Regular" w:cs="CeraGR-Regular"/>
          <w:bCs w:val="0"/>
          <w:color w:val="1F354D"/>
          <w:sz w:val="24"/>
          <w:szCs w:val="24"/>
        </w:rPr>
        <w:t xml:space="preserve">CRITICAL INCIDENT </w:t>
      </w:r>
      <w:r w:rsidR="00B92E77">
        <w:rPr>
          <w:rFonts w:ascii="CeraGR-Regular" w:eastAsiaTheme="minorHAnsi" w:hAnsi="CeraGR-Regular" w:cs="CeraGR-Regular"/>
          <w:bCs w:val="0"/>
          <w:color w:val="1F354D"/>
          <w:sz w:val="24"/>
          <w:szCs w:val="24"/>
        </w:rPr>
        <w:t>RESPONSE</w:t>
      </w:r>
      <w:r w:rsidR="00A83714">
        <w:rPr>
          <w:rFonts w:ascii="CeraGR-Regular" w:eastAsiaTheme="minorHAnsi" w:hAnsi="CeraGR-Regular" w:cs="CeraGR-Regular"/>
          <w:bCs w:val="0"/>
          <w:color w:val="1F354D"/>
          <w:sz w:val="24"/>
          <w:szCs w:val="24"/>
        </w:rPr>
        <w:t xml:space="preserve"> SERVICES</w:t>
      </w:r>
      <w:r w:rsidR="00AF0312">
        <w:rPr>
          <w:rFonts w:ascii="CeraGR-Regular" w:eastAsiaTheme="minorHAnsi" w:hAnsi="CeraGR-Regular" w:cs="CeraGR-Regular"/>
          <w:bCs w:val="0"/>
          <w:color w:val="1F354D"/>
          <w:sz w:val="24"/>
          <w:szCs w:val="24"/>
        </w:rPr>
        <w:t xml:space="preserve"> (aka CISD)</w:t>
      </w:r>
    </w:p>
    <w:p w14:paraId="47169DF8" w14:textId="77777777" w:rsidR="0000714B" w:rsidRPr="009601B3" w:rsidRDefault="0000714B">
      <w:pPr>
        <w:spacing w:before="1"/>
        <w:rPr>
          <w:rFonts w:ascii="Garamond" w:eastAsia="Garamond" w:hAnsi="Garamond" w:cs="Garamond"/>
          <w:b/>
          <w:bCs/>
          <w:sz w:val="24"/>
          <w:szCs w:val="24"/>
        </w:rPr>
      </w:pPr>
    </w:p>
    <w:p w14:paraId="49B6FE9F" w14:textId="70E21D38" w:rsidR="0000714B" w:rsidRPr="00F2180D" w:rsidRDefault="001C4945" w:rsidP="005A44B9">
      <w:pPr>
        <w:pStyle w:val="BodyText"/>
        <w:spacing w:line="360" w:lineRule="auto"/>
        <w:ind w:left="0" w:right="162"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Upon signing the Business Associate Agreement, providers agree to be contacted by McLaughlin Young about a potential Critical Incident </w:t>
      </w:r>
      <w:r w:rsidR="00B92E77">
        <w:rPr>
          <w:rFonts w:ascii="CeraGR-Regular" w:eastAsiaTheme="minorHAnsi" w:hAnsi="CeraGR-Regular" w:cs="CeraGR-Regular"/>
          <w:color w:val="474746"/>
          <w:sz w:val="18"/>
          <w:szCs w:val="18"/>
        </w:rPr>
        <w:t xml:space="preserve">Response </w:t>
      </w:r>
      <w:r w:rsidR="00A83714">
        <w:rPr>
          <w:rFonts w:ascii="CeraGR-Regular" w:eastAsiaTheme="minorHAnsi" w:hAnsi="CeraGR-Regular" w:cs="CeraGR-Regular"/>
          <w:color w:val="474746"/>
          <w:sz w:val="18"/>
          <w:szCs w:val="18"/>
        </w:rPr>
        <w:t>Services</w:t>
      </w:r>
      <w:r w:rsidRPr="00F2180D">
        <w:rPr>
          <w:rFonts w:ascii="CeraGR-Regular" w:eastAsiaTheme="minorHAnsi" w:hAnsi="CeraGR-Regular" w:cs="CeraGR-Regular"/>
          <w:color w:val="474746"/>
          <w:sz w:val="18"/>
          <w:szCs w:val="18"/>
        </w:rPr>
        <w:t xml:space="preserve"> for client organizations. If you are interested in offering </w:t>
      </w:r>
      <w:r w:rsidR="00AF0312">
        <w:rPr>
          <w:rFonts w:ascii="CeraGR-Regular" w:eastAsiaTheme="minorHAnsi" w:hAnsi="CeraGR-Regular" w:cs="CeraGR-Regular"/>
          <w:color w:val="474746"/>
          <w:sz w:val="18"/>
          <w:szCs w:val="18"/>
        </w:rPr>
        <w:t xml:space="preserve">these </w:t>
      </w:r>
      <w:r w:rsidRPr="00F2180D">
        <w:rPr>
          <w:rFonts w:ascii="CeraGR-Regular" w:eastAsiaTheme="minorHAnsi" w:hAnsi="CeraGR-Regular" w:cs="CeraGR-Regular"/>
          <w:color w:val="474746"/>
          <w:sz w:val="18"/>
          <w:szCs w:val="18"/>
        </w:rPr>
        <w:t>services, please include this in an updated provider application.</w:t>
      </w:r>
    </w:p>
    <w:p w14:paraId="0C52F733" w14:textId="77777777" w:rsidR="006F0457" w:rsidRPr="00F2180D" w:rsidRDefault="006F0457" w:rsidP="005A44B9">
      <w:pPr>
        <w:pStyle w:val="BodyText"/>
        <w:spacing w:line="360" w:lineRule="auto"/>
        <w:ind w:left="0" w:right="162" w:firstLine="0"/>
        <w:rPr>
          <w:rFonts w:ascii="Centrale Sans Regular" w:eastAsiaTheme="minorEastAsia" w:hAnsi="Centrale Sans Regular"/>
          <w:b/>
          <w:color w:val="01426A"/>
          <w:sz w:val="18"/>
          <w:szCs w:val="18"/>
        </w:rPr>
      </w:pPr>
    </w:p>
    <w:p w14:paraId="65E22668" w14:textId="2BF683C9" w:rsidR="006F0457" w:rsidRPr="00F2180D" w:rsidRDefault="001C4945" w:rsidP="005A44B9">
      <w:pPr>
        <w:pStyle w:val="BodyText"/>
        <w:spacing w:line="360" w:lineRule="auto"/>
        <w:ind w:left="0" w:right="162" w:firstLine="0"/>
        <w:rPr>
          <w:rFonts w:cs="Garamond"/>
          <w:color w:val="474746"/>
          <w:sz w:val="18"/>
          <w:szCs w:val="18"/>
        </w:rPr>
      </w:pPr>
      <w:r w:rsidRPr="00F2180D">
        <w:rPr>
          <w:rFonts w:ascii="Centrale Sans Regular" w:eastAsiaTheme="minorEastAsia" w:hAnsi="Centrale Sans Regular"/>
          <w:b/>
          <w:color w:val="1F354D"/>
          <w:sz w:val="18"/>
          <w:szCs w:val="18"/>
        </w:rPr>
        <w:t>Goal for Critical Incident Response.</w:t>
      </w:r>
      <w:r w:rsidRPr="00F2180D">
        <w:rPr>
          <w:b/>
          <w:color w:val="1F354D"/>
          <w:spacing w:val="1"/>
          <w:sz w:val="18"/>
          <w:szCs w:val="18"/>
        </w:rPr>
        <w:t xml:space="preserve"> </w:t>
      </w:r>
      <w:r w:rsidRPr="00F2180D">
        <w:rPr>
          <w:rFonts w:ascii="CeraGR-Regular" w:eastAsiaTheme="minorHAnsi" w:hAnsi="CeraGR-Regular" w:cs="CeraGR-Regular"/>
          <w:color w:val="474746"/>
          <w:sz w:val="18"/>
          <w:szCs w:val="18"/>
        </w:rPr>
        <w:t xml:space="preserve">It can be very challenging to remain calm and focused during a time of difficulty or crisis. As an EAP provider, you provide consultation and guidance through on-site </w:t>
      </w:r>
      <w:r w:rsidR="006F0457" w:rsidRPr="00F2180D">
        <w:rPr>
          <w:rFonts w:ascii="CeraGR-Regular" w:eastAsiaTheme="minorHAnsi" w:hAnsi="CeraGR-Regular" w:cs="CeraGR-Regular"/>
          <w:color w:val="474746"/>
          <w:sz w:val="18"/>
          <w:szCs w:val="18"/>
        </w:rPr>
        <w:t xml:space="preserve">support.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strives to provide an immediate supportive response, thorough assessment, and effective intervention which addresses the long-term needs of the organization.</w:t>
      </w:r>
      <w:r w:rsidR="006F0457" w:rsidRPr="00F2180D">
        <w:rPr>
          <w:rFonts w:cs="Garamond"/>
          <w:color w:val="474746"/>
          <w:sz w:val="18"/>
          <w:szCs w:val="18"/>
        </w:rPr>
        <w:t xml:space="preserve"> </w:t>
      </w:r>
    </w:p>
    <w:p w14:paraId="2FE85D8B" w14:textId="77777777" w:rsidR="006F0457" w:rsidRPr="00F2180D" w:rsidRDefault="006F0457" w:rsidP="005A44B9">
      <w:pPr>
        <w:pStyle w:val="BodyText"/>
        <w:spacing w:line="360" w:lineRule="auto"/>
        <w:ind w:left="0" w:right="162" w:firstLine="0"/>
        <w:rPr>
          <w:rFonts w:ascii="Centrale Sans Regular" w:eastAsiaTheme="minorEastAsia" w:hAnsi="Centrale Sans Regular"/>
          <w:b/>
          <w:color w:val="01426A"/>
          <w:sz w:val="18"/>
          <w:szCs w:val="18"/>
        </w:rPr>
      </w:pPr>
    </w:p>
    <w:p w14:paraId="7E788722" w14:textId="4F0BBB76" w:rsidR="006F0457" w:rsidRPr="00F2180D" w:rsidRDefault="00FD6744" w:rsidP="005A44B9">
      <w:pPr>
        <w:pStyle w:val="BodyText"/>
        <w:spacing w:line="360" w:lineRule="auto"/>
        <w:ind w:left="0" w:right="162" w:firstLine="0"/>
        <w:rPr>
          <w:rFonts w:ascii="CeraGR-Regular" w:eastAsiaTheme="minorHAnsi" w:hAnsi="CeraGR-Regular" w:cs="CeraGR-Regular"/>
          <w:color w:val="6D6E71"/>
          <w:sz w:val="18"/>
          <w:szCs w:val="18"/>
        </w:rPr>
      </w:pPr>
      <w:r>
        <w:rPr>
          <w:rFonts w:ascii="Centrale Sans Regular" w:eastAsiaTheme="minorEastAsia" w:hAnsi="Centrale Sans Regular"/>
          <w:b/>
          <w:color w:val="1F354D"/>
          <w:sz w:val="18"/>
          <w:szCs w:val="18"/>
        </w:rPr>
        <w:t>MYgroup</w:t>
      </w:r>
      <w:r w:rsidR="006F0457" w:rsidRPr="00F2180D">
        <w:rPr>
          <w:rFonts w:ascii="Centrale Sans Regular" w:eastAsiaTheme="minorEastAsia" w:hAnsi="Centrale Sans Regular"/>
          <w:b/>
          <w:color w:val="1F354D"/>
          <w:sz w:val="18"/>
          <w:szCs w:val="18"/>
        </w:rPr>
        <w:t xml:space="preserve"> </w:t>
      </w:r>
      <w:r w:rsidR="00AF0312">
        <w:rPr>
          <w:rFonts w:ascii="Centrale Sans Regular" w:eastAsiaTheme="minorEastAsia" w:hAnsi="Centrale Sans Regular"/>
          <w:b/>
          <w:color w:val="1F354D"/>
          <w:sz w:val="18"/>
          <w:szCs w:val="18"/>
        </w:rPr>
        <w:t xml:space="preserve">Critical Incident </w:t>
      </w:r>
      <w:r w:rsidR="001C4945" w:rsidRPr="00F2180D">
        <w:rPr>
          <w:rFonts w:ascii="Centrale Sans Regular" w:eastAsiaTheme="minorEastAsia" w:hAnsi="Centrale Sans Regular"/>
          <w:b/>
          <w:color w:val="1F354D"/>
          <w:sz w:val="18"/>
          <w:szCs w:val="18"/>
        </w:rPr>
        <w:t xml:space="preserve">Response. </w:t>
      </w:r>
      <w:r w:rsidR="001C4945" w:rsidRPr="00F2180D">
        <w:rPr>
          <w:rFonts w:ascii="CeraGR-Regular" w:eastAsiaTheme="minorHAnsi" w:hAnsi="CeraGR-Regular" w:cs="CeraGR-Regular"/>
          <w:color w:val="474746"/>
          <w:sz w:val="18"/>
          <w:szCs w:val="18"/>
        </w:rPr>
        <w:t xml:space="preserve">At intake, </w:t>
      </w:r>
      <w:r>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receives communication from our client organization informing us of a traumatic event or crisis. A Critical Incident Clinician at the McLaughlin Young Group will be assigned to </w:t>
      </w:r>
      <w:r w:rsidR="0069143C">
        <w:rPr>
          <w:rFonts w:ascii="CeraGR-Regular" w:eastAsiaTheme="minorHAnsi" w:hAnsi="CeraGR-Regular" w:cs="CeraGR-Regular"/>
          <w:color w:val="474746"/>
          <w:sz w:val="18"/>
          <w:szCs w:val="18"/>
        </w:rPr>
        <w:t xml:space="preserve">manage the case. During </w:t>
      </w:r>
      <w:r w:rsidR="001C4945" w:rsidRPr="00F2180D">
        <w:rPr>
          <w:rFonts w:ascii="CeraGR-Regular" w:eastAsiaTheme="minorHAnsi" w:hAnsi="CeraGR-Regular" w:cs="CeraGR-Regular"/>
          <w:color w:val="474746"/>
          <w:sz w:val="18"/>
          <w:szCs w:val="18"/>
        </w:rPr>
        <w:t xml:space="preserve">the initial intake call, </w:t>
      </w:r>
      <w:r>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assesses the needs and consults with management about a customized and sensitive-based response. </w:t>
      </w:r>
      <w:r>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contacts </w:t>
      </w:r>
      <w:r w:rsidR="00AF0312">
        <w:rPr>
          <w:rFonts w:ascii="CeraGR-Regular" w:eastAsiaTheme="minorHAnsi" w:hAnsi="CeraGR-Regular" w:cs="CeraGR-Regular"/>
          <w:color w:val="474746"/>
          <w:sz w:val="18"/>
          <w:szCs w:val="18"/>
        </w:rPr>
        <w:t>providers</w:t>
      </w:r>
      <w:r w:rsidR="001C4945" w:rsidRPr="00F2180D">
        <w:rPr>
          <w:rFonts w:ascii="CeraGR-Regular" w:eastAsiaTheme="minorHAnsi" w:hAnsi="CeraGR-Regular" w:cs="CeraGR-Regular"/>
          <w:color w:val="474746"/>
          <w:sz w:val="18"/>
          <w:szCs w:val="18"/>
        </w:rPr>
        <w:t xml:space="preserve"> in the area to help with the response which may include psychological first aid, debriefing groups, bereavement groups, resiliency groups, and 1:1 interventions. As a provider, you may be asked to assist with these kinds of responses.</w:t>
      </w:r>
    </w:p>
    <w:p w14:paraId="70E51E15" w14:textId="77777777" w:rsidR="006F0457" w:rsidRPr="00F2180D" w:rsidRDefault="006F0457" w:rsidP="005A44B9">
      <w:pPr>
        <w:pStyle w:val="BodyText"/>
        <w:spacing w:line="360" w:lineRule="auto"/>
        <w:ind w:left="0" w:right="162" w:firstLine="0"/>
        <w:rPr>
          <w:rFonts w:ascii="CeraGR-Regular" w:eastAsiaTheme="minorHAnsi" w:hAnsi="CeraGR-Regular" w:cs="CeraGR-Regular"/>
          <w:color w:val="6D6E71"/>
          <w:sz w:val="18"/>
          <w:szCs w:val="18"/>
        </w:rPr>
      </w:pPr>
    </w:p>
    <w:p w14:paraId="20C00816" w14:textId="1E70043F" w:rsidR="002C7476" w:rsidRPr="00614D5F" w:rsidRDefault="006F0457" w:rsidP="005A44B9">
      <w:pPr>
        <w:pStyle w:val="BodyText"/>
        <w:spacing w:line="360" w:lineRule="auto"/>
        <w:ind w:left="0" w:right="162" w:firstLine="0"/>
        <w:rPr>
          <w:rFonts w:cs="Garamond"/>
          <w:color w:val="474746"/>
          <w:sz w:val="18"/>
          <w:szCs w:val="18"/>
        </w:rPr>
      </w:pPr>
      <w:r w:rsidRPr="00F2180D">
        <w:rPr>
          <w:rFonts w:ascii="CeraGR-Regular" w:eastAsiaTheme="minorHAnsi" w:hAnsi="CeraGR-Regular" w:cs="CeraGR-Regular"/>
          <w:color w:val="474746"/>
          <w:sz w:val="18"/>
          <w:szCs w:val="18"/>
        </w:rPr>
        <w:t xml:space="preserve">The </w:t>
      </w:r>
      <w:r w:rsidR="001C4945" w:rsidRPr="00F2180D">
        <w:rPr>
          <w:rFonts w:ascii="CeraGR-Regular" w:eastAsiaTheme="minorHAnsi" w:hAnsi="CeraGR-Regular" w:cs="CeraGR-Regular"/>
          <w:color w:val="474746"/>
          <w:sz w:val="18"/>
          <w:szCs w:val="18"/>
        </w:rPr>
        <w:t>assigned Critical Incident Clinician will walk through the process and specifics with you to ensure the response is a good fit with your ability and comfort level to support the client company. Reimbursement will be timely and based on the rate agreed upon with the Critical Incident Clinician. McLaughlin Young will follow up and debrief with management following response.</w:t>
      </w:r>
      <w:r w:rsidRPr="00F2180D">
        <w:rPr>
          <w:rFonts w:cs="Garamond"/>
          <w:color w:val="474746"/>
          <w:sz w:val="18"/>
          <w:szCs w:val="18"/>
        </w:rPr>
        <w:t xml:space="preserve"> </w:t>
      </w:r>
    </w:p>
    <w:p w14:paraId="02030299" w14:textId="77777777" w:rsidR="002C7476" w:rsidRDefault="002C7476" w:rsidP="005A44B9">
      <w:pPr>
        <w:pStyle w:val="BodyText"/>
        <w:spacing w:line="360" w:lineRule="auto"/>
        <w:ind w:left="0" w:right="162" w:firstLine="0"/>
        <w:rPr>
          <w:rFonts w:ascii="Centrale Sans Regular" w:eastAsiaTheme="minorEastAsia" w:hAnsi="Centrale Sans Regular"/>
          <w:b/>
          <w:color w:val="1F354D"/>
          <w:sz w:val="18"/>
          <w:szCs w:val="18"/>
        </w:rPr>
      </w:pPr>
    </w:p>
    <w:p w14:paraId="48874973" w14:textId="69D473D4" w:rsidR="0000714B" w:rsidRPr="00F2180D" w:rsidRDefault="006F0457" w:rsidP="005A44B9">
      <w:pPr>
        <w:pStyle w:val="BodyText"/>
        <w:spacing w:line="360" w:lineRule="auto"/>
        <w:ind w:left="0" w:right="162"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C</w:t>
      </w:r>
      <w:r w:rsidR="002C1371">
        <w:rPr>
          <w:rFonts w:ascii="Centrale Sans Regular" w:eastAsiaTheme="minorEastAsia" w:hAnsi="Centrale Sans Regular"/>
          <w:b/>
          <w:color w:val="1F354D"/>
          <w:sz w:val="18"/>
          <w:szCs w:val="18"/>
        </w:rPr>
        <w:t>ritical Incident Response</w:t>
      </w:r>
      <w:r w:rsidRPr="00F2180D">
        <w:rPr>
          <w:rFonts w:ascii="Centrale Sans Regular" w:eastAsiaTheme="minorEastAsia" w:hAnsi="Centrale Sans Regular"/>
          <w:b/>
          <w:color w:val="1F354D"/>
          <w:sz w:val="18"/>
          <w:szCs w:val="18"/>
        </w:rPr>
        <w:t xml:space="preserve"> </w:t>
      </w:r>
      <w:r w:rsidR="001C4945" w:rsidRPr="00F2180D">
        <w:rPr>
          <w:rFonts w:ascii="Centrale Sans Regular" w:eastAsiaTheme="minorEastAsia" w:hAnsi="Centrale Sans Regular"/>
          <w:b/>
          <w:color w:val="1F354D"/>
          <w:sz w:val="18"/>
          <w:szCs w:val="18"/>
        </w:rPr>
        <w:t>Training.</w:t>
      </w:r>
      <w:r w:rsidR="001C4945" w:rsidRPr="00F2180D">
        <w:rPr>
          <w:b/>
          <w:color w:val="1F354D"/>
          <w:spacing w:val="-1"/>
          <w:sz w:val="18"/>
          <w:szCs w:val="18"/>
        </w:rPr>
        <w:t xml:space="preserve"> </w:t>
      </w:r>
      <w:r w:rsidR="001C4945" w:rsidRPr="00F2180D">
        <w:rPr>
          <w:rFonts w:ascii="CeraGR-Regular" w:eastAsiaTheme="minorHAnsi" w:hAnsi="CeraGR-Regular" w:cs="CeraGR-Regular"/>
          <w:color w:val="474746"/>
          <w:sz w:val="18"/>
          <w:szCs w:val="18"/>
        </w:rPr>
        <w:t>For trainings and other educational information regarding Critical Incident Response, please refer to the following resources:</w:t>
      </w:r>
    </w:p>
    <w:p w14:paraId="2318FB81" w14:textId="77777777" w:rsidR="00AF0312" w:rsidRPr="00FF1A03" w:rsidRDefault="006633BC" w:rsidP="005A44B9">
      <w:pPr>
        <w:pStyle w:val="BodyText"/>
        <w:numPr>
          <w:ilvl w:val="0"/>
          <w:numId w:val="11"/>
        </w:numPr>
        <w:ind w:left="360" w:right="190"/>
        <w:rPr>
          <w:rFonts w:ascii="CeraGR-Regular" w:eastAsiaTheme="minorHAnsi" w:hAnsi="CeraGR-Regular" w:cs="CeraGR-Regular"/>
          <w:color w:val="2E8989"/>
          <w:sz w:val="20"/>
          <w:szCs w:val="20"/>
        </w:rPr>
      </w:pPr>
      <w:hyperlink r:id="rId25" w:history="1">
        <w:r w:rsidR="00AF0312" w:rsidRPr="00A75CBC">
          <w:rPr>
            <w:rStyle w:val="Hyperlink"/>
            <w:rFonts w:ascii="CeraGR-Regular" w:eastAsiaTheme="minorHAnsi" w:hAnsi="CeraGR-Regular" w:cs="CeraGR-Regular"/>
            <w:sz w:val="18"/>
            <w:szCs w:val="18"/>
          </w:rPr>
          <w:t>EAP Critical Incident Response: The Multi-Systemic Resiliency Approach</w:t>
        </w:r>
      </w:hyperlink>
    </w:p>
    <w:p w14:paraId="09199E85" w14:textId="57EBCDFD" w:rsidR="006F0457" w:rsidRPr="00F2180D" w:rsidRDefault="006633BC" w:rsidP="005A44B9">
      <w:pPr>
        <w:pStyle w:val="BodyText"/>
        <w:numPr>
          <w:ilvl w:val="0"/>
          <w:numId w:val="11"/>
        </w:numPr>
        <w:ind w:left="360" w:right="190"/>
        <w:rPr>
          <w:rFonts w:ascii="CeraGR-Regular" w:eastAsiaTheme="minorHAnsi" w:hAnsi="CeraGR-Regular" w:cs="CeraGR-Regular"/>
          <w:color w:val="474746"/>
          <w:sz w:val="18"/>
          <w:szCs w:val="18"/>
        </w:rPr>
      </w:pPr>
      <w:hyperlink r:id="rId26" w:history="1">
        <w:r w:rsidR="001C4945" w:rsidRPr="004F31B1">
          <w:rPr>
            <w:rStyle w:val="Hyperlink"/>
            <w:rFonts w:ascii="CeraGR-Regular" w:eastAsiaTheme="minorHAnsi" w:hAnsi="CeraGR-Regular" w:cs="CeraGR-Regular"/>
            <w:sz w:val="18"/>
            <w:szCs w:val="18"/>
          </w:rPr>
          <w:t>The International Critical Incident Stress Foundation</w:t>
        </w:r>
      </w:hyperlink>
    </w:p>
    <w:p w14:paraId="36E30159" w14:textId="54C6FCCD" w:rsidR="00614D5F" w:rsidRDefault="006633BC" w:rsidP="005A44B9">
      <w:pPr>
        <w:pStyle w:val="BodyText"/>
        <w:numPr>
          <w:ilvl w:val="0"/>
          <w:numId w:val="11"/>
        </w:numPr>
        <w:ind w:left="360" w:right="190"/>
        <w:rPr>
          <w:rFonts w:ascii="CeraGR-Regular" w:eastAsiaTheme="minorHAnsi" w:hAnsi="CeraGR-Regular" w:cs="CeraGR-Regular"/>
          <w:color w:val="2E8989"/>
          <w:sz w:val="20"/>
          <w:szCs w:val="20"/>
        </w:rPr>
      </w:pPr>
      <w:hyperlink r:id="rId27" w:history="1">
        <w:r w:rsidR="001C4945" w:rsidRPr="004F31B1">
          <w:rPr>
            <w:rStyle w:val="Hyperlink"/>
            <w:rFonts w:ascii="CeraGR-Regular" w:eastAsiaTheme="minorHAnsi" w:hAnsi="CeraGR-Regular" w:cs="CeraGR-Regular"/>
            <w:sz w:val="18"/>
            <w:szCs w:val="18"/>
          </w:rPr>
          <w:t>Psychological First Aid</w:t>
        </w:r>
      </w:hyperlink>
      <w:r w:rsidR="006F0457" w:rsidRPr="002458F8">
        <w:rPr>
          <w:rFonts w:ascii="CeraGR-Regular" w:eastAsiaTheme="minorHAnsi" w:hAnsi="CeraGR-Regular" w:cs="CeraGR-Regular"/>
          <w:color w:val="2E8989"/>
          <w:sz w:val="20"/>
          <w:szCs w:val="20"/>
        </w:rPr>
        <w:t xml:space="preserve"> </w:t>
      </w:r>
    </w:p>
    <w:p w14:paraId="3DB7938A" w14:textId="06963F9F" w:rsidR="009601B3" w:rsidRDefault="009601B3">
      <w:pPr>
        <w:rPr>
          <w:rFonts w:ascii="Garamond" w:eastAsia="Garamond" w:hAnsi="Garamond" w:cs="Garamond"/>
          <w:sz w:val="27"/>
          <w:szCs w:val="27"/>
        </w:rPr>
      </w:pPr>
      <w:r>
        <w:rPr>
          <w:rFonts w:ascii="Garamond" w:eastAsia="Garamond" w:hAnsi="Garamond" w:cs="Garamond"/>
          <w:sz w:val="27"/>
          <w:szCs w:val="27"/>
        </w:rPr>
        <w:br w:type="page"/>
      </w:r>
    </w:p>
    <w:p w14:paraId="46A3F7AA" w14:textId="77777777" w:rsidR="0000714B" w:rsidRPr="009216D5" w:rsidRDefault="001C4945" w:rsidP="005A44B9">
      <w:pPr>
        <w:pStyle w:val="Heading2"/>
        <w:numPr>
          <w:ilvl w:val="0"/>
          <w:numId w:val="8"/>
        </w:numPr>
        <w:tabs>
          <w:tab w:val="left" w:pos="1561"/>
        </w:tabs>
        <w:spacing w:before="74"/>
        <w:jc w:val="left"/>
        <w:rPr>
          <w:rFonts w:ascii="CeraGR-Regular" w:eastAsiaTheme="minorHAnsi" w:hAnsi="CeraGR-Regular" w:cs="CeraGR-Regular"/>
          <w:bCs w:val="0"/>
          <w:color w:val="1F354D"/>
          <w:sz w:val="24"/>
          <w:szCs w:val="24"/>
        </w:rPr>
      </w:pPr>
      <w:bookmarkStart w:id="6" w:name="_bookmark6"/>
      <w:bookmarkEnd w:id="6"/>
      <w:r w:rsidRPr="009216D5">
        <w:rPr>
          <w:rFonts w:ascii="CeraGR-Regular" w:eastAsiaTheme="minorHAnsi" w:hAnsi="CeraGR-Regular" w:cs="CeraGR-Regular"/>
          <w:bCs w:val="0"/>
          <w:color w:val="1F354D"/>
          <w:sz w:val="24"/>
          <w:szCs w:val="24"/>
        </w:rPr>
        <w:lastRenderedPageBreak/>
        <w:t>ADDITIONAL SERVICES</w:t>
      </w:r>
    </w:p>
    <w:p w14:paraId="1B610921" w14:textId="77777777" w:rsidR="0000714B" w:rsidRPr="009601B3" w:rsidRDefault="0000714B">
      <w:pPr>
        <w:spacing w:before="10"/>
        <w:rPr>
          <w:rFonts w:ascii="Garamond" w:eastAsia="Garamond" w:hAnsi="Garamond" w:cs="Garamond"/>
          <w:b/>
          <w:bCs/>
          <w:sz w:val="24"/>
          <w:szCs w:val="24"/>
        </w:rPr>
      </w:pPr>
    </w:p>
    <w:p w14:paraId="74A7FEB1" w14:textId="161BCB51" w:rsidR="00A925CE" w:rsidRPr="00F2180D" w:rsidRDefault="001C4945" w:rsidP="005A44B9">
      <w:pPr>
        <w:pStyle w:val="BodyText"/>
        <w:spacing w:line="360" w:lineRule="auto"/>
        <w:ind w:left="0" w:right="179"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 xml:space="preserve">Work-Life Services for Employees Utilizing </w:t>
      </w:r>
      <w:r w:rsidR="00FD6744">
        <w:rPr>
          <w:rFonts w:ascii="Centrale Sans Regular" w:eastAsiaTheme="minorEastAsia" w:hAnsi="Centrale Sans Regular"/>
          <w:b/>
          <w:color w:val="1F354D"/>
          <w:sz w:val="18"/>
          <w:szCs w:val="18"/>
        </w:rPr>
        <w:t>MYgroup</w:t>
      </w:r>
      <w:r w:rsidRPr="00F2180D">
        <w:rPr>
          <w:rFonts w:ascii="Centrale Sans Regular" w:eastAsiaTheme="minorEastAsia" w:hAnsi="Centrale Sans Regular"/>
          <w:b/>
          <w:color w:val="1F354D"/>
          <w:sz w:val="18"/>
          <w:szCs w:val="18"/>
        </w:rPr>
        <w:t xml:space="preserve"> EAP.</w:t>
      </w:r>
      <w:r w:rsidRPr="00F2180D">
        <w:rPr>
          <w:rFonts w:ascii="CeraGR-Regular" w:eastAsiaTheme="minorHAnsi" w:hAnsi="CeraGR-Regular" w:cs="CeraGR-Regular"/>
          <w:color w:val="1F354D"/>
          <w:sz w:val="18"/>
          <w:szCs w:val="18"/>
        </w:rPr>
        <w:t xml:space="preserve"> </w:t>
      </w:r>
      <w:r w:rsidRPr="00F2180D">
        <w:rPr>
          <w:rFonts w:ascii="CeraGR-Regular" w:eastAsiaTheme="minorHAnsi" w:hAnsi="CeraGR-Regular" w:cs="CeraGR-Regular"/>
          <w:color w:val="474746"/>
          <w:sz w:val="18"/>
          <w:szCs w:val="18"/>
        </w:rPr>
        <w:t xml:space="preserve">In addition to face-to-face </w:t>
      </w:r>
      <w:r w:rsidR="006F0457" w:rsidRPr="00F2180D">
        <w:rPr>
          <w:rFonts w:ascii="CeraGR-Regular" w:eastAsiaTheme="minorHAnsi" w:hAnsi="CeraGR-Regular" w:cs="CeraGR-Regular"/>
          <w:color w:val="474746"/>
          <w:sz w:val="18"/>
          <w:szCs w:val="18"/>
        </w:rPr>
        <w:t xml:space="preserve">affiliate </w:t>
      </w:r>
      <w:r w:rsidR="009216D5" w:rsidRPr="00F2180D">
        <w:rPr>
          <w:rFonts w:ascii="CeraGR-Regular" w:eastAsiaTheme="minorHAnsi" w:hAnsi="CeraGR-Regular" w:cs="CeraGR-Regular"/>
          <w:color w:val="474746"/>
          <w:sz w:val="18"/>
          <w:szCs w:val="18"/>
        </w:rPr>
        <w:t xml:space="preserve">counseling, some employees have Work-Life services provided by their employer through </w:t>
      </w:r>
      <w:r w:rsidR="00FD6744">
        <w:rPr>
          <w:rFonts w:ascii="CeraGR-Regular" w:eastAsiaTheme="minorHAnsi" w:hAnsi="CeraGR-Regular" w:cs="CeraGR-Regular"/>
          <w:color w:val="474746"/>
          <w:sz w:val="18"/>
          <w:szCs w:val="18"/>
        </w:rPr>
        <w:t>MYgroup</w:t>
      </w:r>
      <w:r w:rsidR="009216D5" w:rsidRPr="00F2180D">
        <w:rPr>
          <w:rFonts w:ascii="CeraGR-Regular" w:eastAsiaTheme="minorHAnsi" w:hAnsi="CeraGR-Regular" w:cs="CeraGR-Regular"/>
          <w:color w:val="474746"/>
          <w:sz w:val="18"/>
          <w:szCs w:val="18"/>
        </w:rPr>
        <w:t xml:space="preserve">. These services may include Legal and Financial Assistance, Consultation, and Online Resources. If your client does not know if </w:t>
      </w:r>
      <w:r w:rsidR="006E409A">
        <w:rPr>
          <w:rFonts w:ascii="CeraGR-Regular" w:eastAsiaTheme="minorHAnsi" w:hAnsi="CeraGR-Regular" w:cs="CeraGR-Regular"/>
          <w:color w:val="474746"/>
          <w:sz w:val="18"/>
          <w:szCs w:val="18"/>
        </w:rPr>
        <w:t>s/he</w:t>
      </w:r>
      <w:r w:rsidR="009216D5" w:rsidRPr="00F2180D">
        <w:rPr>
          <w:rFonts w:ascii="CeraGR-Regular" w:eastAsiaTheme="minorHAnsi" w:hAnsi="CeraGR-Regular" w:cs="CeraGR-Regular"/>
          <w:color w:val="474746"/>
          <w:sz w:val="18"/>
          <w:szCs w:val="18"/>
        </w:rPr>
        <w:t xml:space="preserve"> has these resources, please refer the client back to the </w:t>
      </w:r>
      <w:r w:rsidR="00FD6744">
        <w:rPr>
          <w:rFonts w:ascii="CeraGR-Regular" w:eastAsiaTheme="minorHAnsi" w:hAnsi="CeraGR-Regular" w:cs="CeraGR-Regular"/>
          <w:color w:val="474746"/>
          <w:sz w:val="18"/>
          <w:szCs w:val="18"/>
        </w:rPr>
        <w:t>MYgroup</w:t>
      </w:r>
      <w:r w:rsidR="009216D5" w:rsidRPr="00F2180D">
        <w:rPr>
          <w:rFonts w:ascii="CeraGR-Regular" w:eastAsiaTheme="minorHAnsi" w:hAnsi="CeraGR-Regular" w:cs="CeraGR-Regular"/>
          <w:color w:val="474746"/>
          <w:sz w:val="18"/>
          <w:szCs w:val="18"/>
        </w:rPr>
        <w:t xml:space="preserve"> case manager to discuss their options and received additional assistance.</w:t>
      </w:r>
    </w:p>
    <w:p w14:paraId="6BE2C5FB" w14:textId="77777777" w:rsidR="00A925CE" w:rsidRPr="00F2180D" w:rsidRDefault="00A925CE" w:rsidP="005A44B9">
      <w:pPr>
        <w:pStyle w:val="BodyText"/>
        <w:spacing w:line="360" w:lineRule="auto"/>
        <w:ind w:left="0" w:right="179"/>
        <w:rPr>
          <w:rFonts w:ascii="Centrale Sans Regular" w:eastAsiaTheme="minorEastAsia" w:hAnsi="Centrale Sans Regular"/>
          <w:b/>
          <w:color w:val="01426A"/>
          <w:sz w:val="18"/>
          <w:szCs w:val="18"/>
        </w:rPr>
      </w:pPr>
    </w:p>
    <w:p w14:paraId="1B335EC0" w14:textId="6105A9C8" w:rsidR="0000714B" w:rsidRPr="00F2180D" w:rsidRDefault="001C4945" w:rsidP="005A44B9">
      <w:pPr>
        <w:pStyle w:val="BodyText"/>
        <w:tabs>
          <w:tab w:val="left" w:pos="720"/>
        </w:tabs>
        <w:spacing w:line="360" w:lineRule="auto"/>
        <w:ind w:left="0" w:right="179" w:firstLine="0"/>
        <w:rPr>
          <w:rFonts w:ascii="Centrale Sans Regular" w:eastAsiaTheme="minorEastAsia" w:hAnsi="Centrale Sans Regular"/>
          <w:b/>
          <w:color w:val="474746"/>
          <w:sz w:val="18"/>
          <w:szCs w:val="18"/>
        </w:rPr>
      </w:pPr>
      <w:r w:rsidRPr="00F2180D">
        <w:rPr>
          <w:rFonts w:ascii="Centrale Sans Regular" w:eastAsiaTheme="minorEastAsia" w:hAnsi="Centrale Sans Regular"/>
          <w:b/>
          <w:color w:val="1F354D"/>
          <w:sz w:val="18"/>
          <w:szCs w:val="18"/>
        </w:rPr>
        <w:t xml:space="preserve">Core Training Programs Lead by </w:t>
      </w:r>
      <w:r w:rsidR="00FD6744">
        <w:rPr>
          <w:rFonts w:ascii="Centrale Sans Regular" w:eastAsiaTheme="minorEastAsia" w:hAnsi="Centrale Sans Regular"/>
          <w:b/>
          <w:color w:val="1F354D"/>
          <w:sz w:val="18"/>
          <w:szCs w:val="18"/>
        </w:rPr>
        <w:t>MYgroup</w:t>
      </w:r>
      <w:r w:rsidRPr="00F2180D">
        <w:rPr>
          <w:rFonts w:ascii="Centrale Sans Regular" w:eastAsiaTheme="minorEastAsia" w:hAnsi="Centrale Sans Regular"/>
          <w:b/>
          <w:color w:val="1F354D"/>
          <w:sz w:val="18"/>
          <w:szCs w:val="18"/>
        </w:rPr>
        <w:t xml:space="preserve"> EAP Providers. </w:t>
      </w:r>
      <w:r w:rsidRPr="00F2180D">
        <w:rPr>
          <w:rFonts w:ascii="CeraGR-Regular" w:eastAsiaTheme="minorHAnsi" w:hAnsi="CeraGR-Regular" w:cs="CeraGR-Regular"/>
          <w:color w:val="474746"/>
          <w:sz w:val="18"/>
          <w:szCs w:val="18"/>
        </w:rPr>
        <w:t>Upon signing the Business Associate Agreement, providers agree to be contacted by McLaughlin Young about potentially conducting</w:t>
      </w:r>
      <w:r w:rsidR="00A925CE" w:rsidRPr="00F2180D">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 xml:space="preserve">workshops and core training programs for client organizations. </w:t>
      </w:r>
      <w:r w:rsidR="00697725">
        <w:rPr>
          <w:rFonts w:ascii="CeraGR-Regular" w:eastAsiaTheme="minorHAnsi" w:hAnsi="CeraGR-Regular" w:cs="CeraGR-Regular"/>
          <w:color w:val="474746"/>
          <w:sz w:val="18"/>
          <w:szCs w:val="18"/>
        </w:rPr>
        <w:t xml:space="preserve">Providers who agree to do the trainings will receive a copy of the </w:t>
      </w:r>
      <w:r w:rsidR="00AF0312">
        <w:rPr>
          <w:rFonts w:ascii="CeraGR-Regular" w:eastAsiaTheme="minorHAnsi" w:hAnsi="CeraGR-Regular" w:cs="CeraGR-Regular"/>
          <w:color w:val="474746"/>
          <w:sz w:val="18"/>
          <w:szCs w:val="18"/>
        </w:rPr>
        <w:t>PowerPoint</w:t>
      </w:r>
      <w:r w:rsidR="00697725">
        <w:rPr>
          <w:rFonts w:ascii="CeraGR-Regular" w:eastAsiaTheme="minorHAnsi" w:hAnsi="CeraGR-Regular" w:cs="CeraGR-Regular"/>
          <w:color w:val="474746"/>
          <w:sz w:val="18"/>
          <w:szCs w:val="18"/>
        </w:rPr>
        <w:t xml:space="preserve"> presentation and any necessary handouts. </w:t>
      </w:r>
      <w:r w:rsidRPr="00F2180D">
        <w:rPr>
          <w:rFonts w:ascii="CeraGR-Regular" w:eastAsiaTheme="minorHAnsi" w:hAnsi="CeraGR-Regular" w:cs="CeraGR-Regular"/>
          <w:color w:val="474746"/>
          <w:sz w:val="18"/>
          <w:szCs w:val="18"/>
        </w:rPr>
        <w:t xml:space="preserve">If you are interested in offering </w:t>
      </w:r>
      <w:r w:rsidR="00697725">
        <w:rPr>
          <w:rFonts w:ascii="CeraGR-Regular" w:eastAsiaTheme="minorHAnsi" w:hAnsi="CeraGR-Regular" w:cs="CeraGR-Regular"/>
          <w:color w:val="474746"/>
          <w:sz w:val="18"/>
          <w:szCs w:val="18"/>
        </w:rPr>
        <w:t>trainings</w:t>
      </w:r>
      <w:r w:rsidRPr="00F2180D">
        <w:rPr>
          <w:rFonts w:ascii="CeraGR-Regular" w:eastAsiaTheme="minorHAnsi" w:hAnsi="CeraGR-Regular" w:cs="CeraGR-Regular"/>
          <w:color w:val="474746"/>
          <w:sz w:val="18"/>
          <w:szCs w:val="18"/>
        </w:rPr>
        <w:t>, please include this in an updated provider application</w:t>
      </w:r>
      <w:r w:rsidR="00AF0312">
        <w:rPr>
          <w:rFonts w:ascii="CeraGR-Regular" w:eastAsiaTheme="minorHAnsi" w:hAnsi="CeraGR-Regular" w:cs="CeraGR-Regular"/>
          <w:color w:val="474746"/>
          <w:sz w:val="18"/>
          <w:szCs w:val="18"/>
        </w:rPr>
        <w:t>.</w:t>
      </w:r>
    </w:p>
    <w:p w14:paraId="1CC6A06D" w14:textId="77777777" w:rsidR="0000714B" w:rsidRPr="00337BEE" w:rsidRDefault="001C4945" w:rsidP="006E409A">
      <w:pPr>
        <w:pStyle w:val="BodyText"/>
        <w:spacing w:line="360" w:lineRule="auto"/>
        <w:ind w:left="360" w:right="179"/>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Potential training programs may include:</w:t>
      </w:r>
    </w:p>
    <w:p w14:paraId="0B0543AD" w14:textId="3733A530" w:rsidR="0000714B"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Compassion Fatigue</w:t>
      </w:r>
    </w:p>
    <w:p w14:paraId="5354F6E1" w14:textId="4D66F705"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Coping with Change</w:t>
      </w:r>
    </w:p>
    <w:p w14:paraId="021F6345" w14:textId="7B10EC78"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Dealing with Difficult People</w:t>
      </w:r>
    </w:p>
    <w:p w14:paraId="534CBA7E" w14:textId="6E46E592"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Decreasing Financial Stress</w:t>
      </w:r>
    </w:p>
    <w:p w14:paraId="30E201FC" w14:textId="78F6C97A"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Effective Communication</w:t>
      </w:r>
    </w:p>
    <w:p w14:paraId="2E9C3852" w14:textId="1CB7494B"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Grief and Loss</w:t>
      </w:r>
    </w:p>
    <w:p w14:paraId="3E8385AF" w14:textId="47D18610"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Holiday Stress</w:t>
      </w:r>
    </w:p>
    <w:p w14:paraId="620CC102" w14:textId="6A12B0EE"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Mindfulness in the Workplace</w:t>
      </w:r>
    </w:p>
    <w:p w14:paraId="6A1A841C" w14:textId="4BCC563C"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Recognizing a Troubled Employee</w:t>
      </w:r>
    </w:p>
    <w:p w14:paraId="79152418" w14:textId="186F3B53"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Stress Management</w:t>
      </w:r>
    </w:p>
    <w:p w14:paraId="7E43ACED" w14:textId="742A7C35"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Time Management</w:t>
      </w:r>
    </w:p>
    <w:p w14:paraId="1CEBF118" w14:textId="2838B795"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Work-Life Fulfillment</w:t>
      </w:r>
    </w:p>
    <w:p w14:paraId="22E7909E" w14:textId="703005DF" w:rsidR="006E409A" w:rsidRDefault="006E409A" w:rsidP="005A44B9">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Workplace Bullying</w:t>
      </w:r>
    </w:p>
    <w:p w14:paraId="4BFC91AB" w14:textId="01AF03EF" w:rsidR="0000714B" w:rsidRPr="006E409A" w:rsidRDefault="006E409A" w:rsidP="006E409A">
      <w:pPr>
        <w:pStyle w:val="BodyText"/>
        <w:numPr>
          <w:ilvl w:val="1"/>
          <w:numId w:val="8"/>
        </w:numPr>
        <w:ind w:left="36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Workplace Violence</w:t>
      </w:r>
    </w:p>
    <w:p w14:paraId="336D2F6E" w14:textId="77777777" w:rsidR="0000714B" w:rsidRPr="009601B3" w:rsidRDefault="0000714B" w:rsidP="005A44B9">
      <w:pPr>
        <w:spacing w:before="1"/>
        <w:ind w:left="360"/>
        <w:rPr>
          <w:rFonts w:ascii="Garamond" w:eastAsia="Garamond" w:hAnsi="Garamond" w:cs="Garamond"/>
          <w:color w:val="474746"/>
          <w:sz w:val="27"/>
          <w:szCs w:val="27"/>
        </w:rPr>
      </w:pPr>
    </w:p>
    <w:p w14:paraId="7EC14E6C" w14:textId="4BAE3FA8" w:rsidR="0000714B" w:rsidRPr="009216D5" w:rsidRDefault="001C4945" w:rsidP="005A44B9">
      <w:pPr>
        <w:pStyle w:val="Heading2"/>
        <w:numPr>
          <w:ilvl w:val="0"/>
          <w:numId w:val="8"/>
        </w:numPr>
        <w:spacing w:before="74"/>
        <w:jc w:val="left"/>
        <w:rPr>
          <w:rFonts w:ascii="CeraGR-Regular" w:eastAsiaTheme="minorHAnsi" w:hAnsi="CeraGR-Regular" w:cs="CeraGR-Regular"/>
          <w:bCs w:val="0"/>
          <w:color w:val="1F354D"/>
          <w:sz w:val="24"/>
          <w:szCs w:val="24"/>
        </w:rPr>
      </w:pPr>
      <w:bookmarkStart w:id="7" w:name="_bookmark7"/>
      <w:bookmarkEnd w:id="7"/>
      <w:r w:rsidRPr="009216D5">
        <w:rPr>
          <w:rFonts w:ascii="CeraGR-Regular" w:eastAsiaTheme="minorHAnsi" w:hAnsi="CeraGR-Regular" w:cs="CeraGR-Regular"/>
          <w:bCs w:val="0"/>
          <w:color w:val="1F354D"/>
          <w:sz w:val="24"/>
          <w:szCs w:val="24"/>
        </w:rPr>
        <w:t xml:space="preserve">THE </w:t>
      </w:r>
      <w:r w:rsidR="00FD6744">
        <w:rPr>
          <w:rFonts w:ascii="CeraGR-Regular" w:eastAsiaTheme="minorHAnsi" w:hAnsi="CeraGR-Regular" w:cs="CeraGR-Regular"/>
          <w:bCs w:val="0"/>
          <w:color w:val="1F354D"/>
          <w:sz w:val="24"/>
          <w:szCs w:val="24"/>
        </w:rPr>
        <w:t>MYgroup</w:t>
      </w:r>
      <w:r w:rsidRPr="009216D5">
        <w:rPr>
          <w:rFonts w:ascii="CeraGR-Regular" w:eastAsiaTheme="minorHAnsi" w:hAnsi="CeraGR-Regular" w:cs="CeraGR-Regular"/>
          <w:bCs w:val="0"/>
          <w:color w:val="1F354D"/>
          <w:sz w:val="24"/>
          <w:szCs w:val="24"/>
        </w:rPr>
        <w:t xml:space="preserve"> BILLING &amp; REIMBURSEMENT PROCESS</w:t>
      </w:r>
    </w:p>
    <w:p w14:paraId="58EA7FAB" w14:textId="77777777" w:rsidR="0000714B" w:rsidRPr="009601B3" w:rsidRDefault="0000714B">
      <w:pPr>
        <w:spacing w:before="2"/>
        <w:rPr>
          <w:rFonts w:ascii="Garamond" w:eastAsia="Garamond" w:hAnsi="Garamond" w:cs="Garamond"/>
          <w:b/>
          <w:bCs/>
          <w:sz w:val="24"/>
          <w:szCs w:val="24"/>
        </w:rPr>
      </w:pPr>
    </w:p>
    <w:p w14:paraId="37309578" w14:textId="2D464C6B" w:rsidR="0000714B" w:rsidRPr="00F2180D" w:rsidRDefault="00FD6744" w:rsidP="005A44B9">
      <w:pPr>
        <w:pStyle w:val="BodyText"/>
        <w:spacing w:line="360" w:lineRule="auto"/>
        <w:ind w:left="0" w:right="190"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will accept interim and final billing via fax or mail. </w:t>
      </w:r>
      <w:r w:rsidR="00697725">
        <w:rPr>
          <w:rFonts w:ascii="CeraGR-Regular" w:eastAsiaTheme="minorHAnsi" w:hAnsi="CeraGR-Regular" w:cs="CeraGR-Regular"/>
          <w:color w:val="474746"/>
          <w:sz w:val="18"/>
          <w:szCs w:val="18"/>
        </w:rPr>
        <w:t>In order to comply with</w:t>
      </w:r>
      <w:r w:rsidR="001C4945" w:rsidRPr="00F2180D">
        <w:rPr>
          <w:rFonts w:ascii="CeraGR-Regular" w:eastAsiaTheme="minorHAnsi" w:hAnsi="CeraGR-Regular" w:cs="CeraGR-Regular"/>
          <w:color w:val="474746"/>
          <w:sz w:val="18"/>
          <w:szCs w:val="18"/>
        </w:rPr>
        <w:t xml:space="preserve"> HIPAA</w:t>
      </w:r>
      <w:r w:rsidR="00697725">
        <w:rPr>
          <w:rFonts w:ascii="CeraGR-Regular" w:eastAsiaTheme="minorHAnsi" w:hAnsi="CeraGR-Regular" w:cs="CeraGR-Regular"/>
          <w:color w:val="474746"/>
          <w:sz w:val="18"/>
          <w:szCs w:val="18"/>
        </w:rPr>
        <w:t xml:space="preserve"> regulations</w:t>
      </w:r>
      <w:r w:rsidR="001C4945" w:rsidRPr="00F2180D">
        <w:rPr>
          <w:rFonts w:ascii="CeraGR-Regular" w:eastAsiaTheme="minorHAnsi" w:hAnsi="CeraGR-Regular" w:cs="CeraGR-Regular"/>
          <w:color w:val="474746"/>
          <w:sz w:val="18"/>
          <w:szCs w:val="18"/>
        </w:rPr>
        <w:t>, electronic documentation</w:t>
      </w:r>
      <w:r w:rsidR="00FF1A03">
        <w:rPr>
          <w:rFonts w:ascii="CeraGR-Regular" w:eastAsiaTheme="minorHAnsi" w:hAnsi="CeraGR-Regular" w:cs="CeraGR-Regular"/>
          <w:color w:val="474746"/>
          <w:sz w:val="18"/>
          <w:szCs w:val="18"/>
        </w:rPr>
        <w:t xml:space="preserve"> (e.g., email)</w:t>
      </w:r>
      <w:r w:rsidR="001C4945" w:rsidRPr="00F2180D">
        <w:rPr>
          <w:rFonts w:ascii="CeraGR-Regular" w:eastAsiaTheme="minorHAnsi" w:hAnsi="CeraGR-Regular" w:cs="CeraGR-Regular"/>
          <w:color w:val="474746"/>
          <w:sz w:val="18"/>
          <w:szCs w:val="18"/>
        </w:rPr>
        <w:t xml:space="preserve"> will not be accepted unless proper encryption efforts were utilized.</w:t>
      </w:r>
    </w:p>
    <w:p w14:paraId="5DE2E7F8" w14:textId="77777777" w:rsidR="0000714B" w:rsidRPr="00F2180D" w:rsidRDefault="0000714B" w:rsidP="005A44B9">
      <w:pPr>
        <w:spacing w:before="1"/>
        <w:rPr>
          <w:rFonts w:ascii="Garamond" w:eastAsia="Garamond" w:hAnsi="Garamond" w:cs="Garamond"/>
          <w:sz w:val="18"/>
          <w:szCs w:val="18"/>
        </w:rPr>
      </w:pPr>
    </w:p>
    <w:p w14:paraId="64EA0AF4" w14:textId="63F5E3FF" w:rsidR="0069143C" w:rsidRDefault="001C4945" w:rsidP="005A44B9">
      <w:pPr>
        <w:pStyle w:val="BodyText"/>
        <w:spacing w:line="360" w:lineRule="auto"/>
        <w:ind w:left="0" w:right="123"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Record Keeping &amp; HIPAA Compliance.</w:t>
      </w:r>
      <w:r w:rsidRPr="00F2180D">
        <w:rPr>
          <w:b/>
          <w:color w:val="1F354D"/>
          <w:spacing w:val="-1"/>
          <w:sz w:val="18"/>
          <w:szCs w:val="18"/>
        </w:rPr>
        <w:t xml:space="preserv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EAP </w:t>
      </w:r>
      <w:r w:rsidR="00AF0312">
        <w:rPr>
          <w:rFonts w:ascii="CeraGR-Regular" w:eastAsiaTheme="minorHAnsi" w:hAnsi="CeraGR-Regular" w:cs="CeraGR-Regular"/>
          <w:color w:val="474746"/>
          <w:sz w:val="18"/>
          <w:szCs w:val="18"/>
        </w:rPr>
        <w:t>p</w:t>
      </w:r>
      <w:r w:rsidRPr="00F2180D">
        <w:rPr>
          <w:rFonts w:ascii="CeraGR-Regular" w:eastAsiaTheme="minorHAnsi" w:hAnsi="CeraGR-Regular" w:cs="CeraGR-Regular"/>
          <w:color w:val="474746"/>
          <w:sz w:val="18"/>
          <w:szCs w:val="18"/>
        </w:rPr>
        <w:t>roviders must comply with applicable government regulations including HIPAA and maintain retrievable documentation of all direct services and recommendation rendered. In accordance with HIPAA regulation, all electronic transmission must be confidential and protected via 128-bit encryption to minimize unauthorized access. Please notify our office immediately of any transmission error</w:t>
      </w:r>
      <w:r w:rsidR="00FF3079" w:rsidRPr="00F2180D">
        <w:rPr>
          <w:rFonts w:ascii="CeraGR-Regular" w:eastAsiaTheme="minorHAnsi" w:hAnsi="CeraGR-Regular" w:cs="CeraGR-Regular"/>
          <w:color w:val="474746"/>
          <w:sz w:val="18"/>
          <w:szCs w:val="18"/>
        </w:rPr>
        <w:t xml:space="preserve">. </w:t>
      </w:r>
    </w:p>
    <w:p w14:paraId="01B32822" w14:textId="77777777" w:rsidR="002C7476" w:rsidRDefault="002C7476" w:rsidP="005A44B9">
      <w:pPr>
        <w:pStyle w:val="BodyText"/>
        <w:spacing w:line="360" w:lineRule="auto"/>
        <w:ind w:left="0" w:right="123" w:firstLine="0"/>
        <w:rPr>
          <w:rFonts w:ascii="CeraGR-Regular" w:eastAsiaTheme="minorHAnsi" w:hAnsi="CeraGR-Regular" w:cs="CeraGR-Regular"/>
          <w:color w:val="474746"/>
          <w:sz w:val="18"/>
          <w:szCs w:val="18"/>
        </w:rPr>
      </w:pPr>
    </w:p>
    <w:p w14:paraId="51174CA2" w14:textId="738C9B29" w:rsidR="00FF3079" w:rsidRPr="00F2180D" w:rsidRDefault="00FF3079" w:rsidP="005A44B9">
      <w:pPr>
        <w:pStyle w:val="BodyText"/>
        <w:spacing w:line="360" w:lineRule="auto"/>
        <w:ind w:left="0" w:right="123"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Records</w:t>
      </w:r>
      <w:r w:rsidR="001C4945" w:rsidRPr="00F2180D">
        <w:rPr>
          <w:rFonts w:ascii="CeraGR-Regular" w:eastAsiaTheme="minorHAnsi" w:hAnsi="CeraGR-Regular" w:cs="CeraGR-Regular"/>
          <w:color w:val="474746"/>
          <w:sz w:val="18"/>
          <w:szCs w:val="18"/>
        </w:rPr>
        <w:t xml:space="preserve"> including psychotherapy notes must be maintained in accordance with all applicable laws and regulations, for a minimum period of time as required by law. Storage, transfer, and destruction of records must be handled in a secure manner to ensure confidentiality and authorized access only.</w:t>
      </w:r>
      <w:r w:rsidRPr="00F2180D">
        <w:rPr>
          <w:rFonts w:ascii="CeraGR-Regular" w:eastAsiaTheme="minorHAnsi" w:hAnsi="CeraGR-Regular" w:cs="CeraGR-Regular"/>
          <w:color w:val="474746"/>
          <w:sz w:val="18"/>
          <w:szCs w:val="18"/>
        </w:rPr>
        <w:t xml:space="preserve">  </w:t>
      </w:r>
      <w:r w:rsidR="001C4945" w:rsidRPr="00F2180D">
        <w:rPr>
          <w:rFonts w:ascii="CeraGR-Regular" w:eastAsiaTheme="minorHAnsi" w:hAnsi="CeraGR-Regular" w:cs="CeraGR-Regular"/>
          <w:color w:val="474746"/>
          <w:sz w:val="18"/>
          <w:szCs w:val="18"/>
        </w:rPr>
        <w:t xml:space="preserve">Per EAPA standards, </w:t>
      </w:r>
      <w:r w:rsidR="001C4945" w:rsidRPr="00F2180D">
        <w:rPr>
          <w:rFonts w:ascii="CeraGR-Regular" w:eastAsiaTheme="minorHAnsi" w:hAnsi="CeraGR-Regular" w:cs="CeraGR-Regular"/>
          <w:color w:val="474746"/>
          <w:sz w:val="18"/>
          <w:szCs w:val="18"/>
        </w:rPr>
        <w:lastRenderedPageBreak/>
        <w:t xml:space="preserve">every effort must be made to prevent involvement of EAP records in arbitration, litigation, or any other dispute. Please contact the </w:t>
      </w:r>
      <w:r w:rsidR="00FD6744">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EAP Director with any inquiries or concerns regarding this matter</w:t>
      </w:r>
      <w:r w:rsidRPr="00F2180D">
        <w:rPr>
          <w:rFonts w:ascii="CeraGR-Regular" w:eastAsiaTheme="minorHAnsi" w:hAnsi="CeraGR-Regular" w:cs="CeraGR-Regular"/>
          <w:color w:val="474746"/>
          <w:sz w:val="18"/>
          <w:szCs w:val="18"/>
        </w:rPr>
        <w:t>.</w:t>
      </w:r>
    </w:p>
    <w:p w14:paraId="05E3CA1C" w14:textId="77777777" w:rsidR="00FF3079" w:rsidRPr="00F2180D" w:rsidRDefault="00FF3079" w:rsidP="00FF3079">
      <w:pPr>
        <w:pStyle w:val="BodyText"/>
        <w:spacing w:line="360" w:lineRule="auto"/>
        <w:ind w:left="720" w:right="123" w:firstLine="0"/>
        <w:rPr>
          <w:rFonts w:ascii="CeraGR-Regular" w:eastAsiaTheme="minorHAnsi" w:hAnsi="CeraGR-Regular" w:cs="CeraGR-Regular"/>
          <w:color w:val="6D6E71"/>
          <w:sz w:val="18"/>
          <w:szCs w:val="18"/>
        </w:rPr>
      </w:pPr>
    </w:p>
    <w:p w14:paraId="0ECD43D4" w14:textId="745AC035" w:rsidR="00D271A6" w:rsidRPr="00337BEE" w:rsidRDefault="00FF3079" w:rsidP="005A44B9">
      <w:pPr>
        <w:pStyle w:val="BodyText"/>
        <w:spacing w:line="360" w:lineRule="auto"/>
        <w:ind w:left="0" w:right="123" w:firstLine="0"/>
        <w:rPr>
          <w:color w:val="474746"/>
          <w:sz w:val="18"/>
          <w:szCs w:val="18"/>
        </w:rPr>
      </w:pPr>
      <w:r w:rsidRPr="00F2180D">
        <w:rPr>
          <w:rFonts w:ascii="Centrale Sans Regular" w:eastAsiaTheme="minorEastAsia" w:hAnsi="Centrale Sans Regular"/>
          <w:b/>
          <w:color w:val="1F354D"/>
          <w:sz w:val="18"/>
          <w:szCs w:val="18"/>
        </w:rPr>
        <w:t xml:space="preserve">Billing </w:t>
      </w:r>
      <w:r w:rsidR="001C4945" w:rsidRPr="00F2180D">
        <w:rPr>
          <w:rFonts w:ascii="Centrale Sans Regular" w:eastAsiaTheme="minorEastAsia" w:hAnsi="Centrale Sans Regular"/>
          <w:b/>
          <w:color w:val="1F354D"/>
          <w:sz w:val="18"/>
          <w:szCs w:val="18"/>
        </w:rPr>
        <w:t>Documentation.</w:t>
      </w:r>
      <w:r w:rsidR="001C4945" w:rsidRPr="00F2180D">
        <w:rPr>
          <w:b/>
          <w:color w:val="1F354D"/>
          <w:spacing w:val="69"/>
          <w:sz w:val="18"/>
          <w:szCs w:val="18"/>
        </w:rPr>
        <w:t xml:space="preserve"> </w:t>
      </w:r>
      <w:r w:rsidR="001C4945" w:rsidRPr="00F2180D">
        <w:rPr>
          <w:rFonts w:ascii="CeraGR-Regular" w:eastAsiaTheme="minorHAnsi" w:hAnsi="CeraGR-Regular" w:cs="CeraGR-Regular"/>
          <w:color w:val="474746"/>
          <w:sz w:val="18"/>
          <w:szCs w:val="18"/>
        </w:rPr>
        <w:t xml:space="preserve">It is the responsibility of the </w:t>
      </w:r>
      <w:r w:rsidR="00AF0312">
        <w:rPr>
          <w:rFonts w:ascii="CeraGR-Regular" w:eastAsiaTheme="minorHAnsi" w:hAnsi="CeraGR-Regular" w:cs="CeraGR-Regular"/>
          <w:color w:val="474746"/>
          <w:sz w:val="18"/>
          <w:szCs w:val="18"/>
        </w:rPr>
        <w:t>p</w:t>
      </w:r>
      <w:r w:rsidR="001C4945" w:rsidRPr="00F2180D">
        <w:rPr>
          <w:rFonts w:ascii="CeraGR-Regular" w:eastAsiaTheme="minorHAnsi" w:hAnsi="CeraGR-Regular" w:cs="CeraGR-Regular"/>
          <w:color w:val="474746"/>
          <w:sz w:val="18"/>
          <w:szCs w:val="18"/>
        </w:rPr>
        <w:t xml:space="preserve">rovider to maintain accurate records of service, including dates of service and case notes. In addition, </w:t>
      </w:r>
      <w:r w:rsidR="00FD6744">
        <w:rPr>
          <w:rFonts w:ascii="CeraGR-Regular" w:eastAsiaTheme="minorHAnsi" w:hAnsi="CeraGR-Regular" w:cs="CeraGR-Regular"/>
          <w:color w:val="474746"/>
          <w:sz w:val="18"/>
          <w:szCs w:val="18"/>
        </w:rPr>
        <w:t>MYgroup</w:t>
      </w:r>
      <w:r w:rsidR="001C4945" w:rsidRPr="00F2180D">
        <w:rPr>
          <w:rFonts w:ascii="CeraGR-Regular" w:eastAsiaTheme="minorHAnsi" w:hAnsi="CeraGR-Regular" w:cs="CeraGR-Regular"/>
          <w:color w:val="474746"/>
          <w:sz w:val="18"/>
          <w:szCs w:val="18"/>
        </w:rPr>
        <w:t xml:space="preserve"> recommends maintaining a copy of billing documentation of services rendered until s</w:t>
      </w:r>
      <w:r w:rsidR="00AF0312">
        <w:rPr>
          <w:rFonts w:ascii="CeraGR-Regular" w:eastAsiaTheme="minorHAnsi" w:hAnsi="CeraGR-Regular" w:cs="CeraGR-Regular"/>
          <w:color w:val="474746"/>
          <w:sz w:val="18"/>
          <w:szCs w:val="18"/>
        </w:rPr>
        <w:t>/</w:t>
      </w:r>
      <w:r w:rsidR="001C4945" w:rsidRPr="00F2180D">
        <w:rPr>
          <w:rFonts w:ascii="CeraGR-Regular" w:eastAsiaTheme="minorHAnsi" w:hAnsi="CeraGR-Regular" w:cs="CeraGR-Regular"/>
          <w:color w:val="474746"/>
          <w:sz w:val="18"/>
          <w:szCs w:val="18"/>
        </w:rPr>
        <w:t xml:space="preserve">he receives reimbursement. The following forms must be completed and returned for payment </w:t>
      </w:r>
      <w:r w:rsidR="001C4945" w:rsidRPr="00F2180D">
        <w:rPr>
          <w:rFonts w:ascii="CeraGR-Regular" w:eastAsiaTheme="minorHAnsi" w:hAnsi="CeraGR-Regular" w:cs="CeraGR-Regular"/>
          <w:b/>
          <w:color w:val="474746"/>
          <w:sz w:val="18"/>
          <w:szCs w:val="18"/>
        </w:rPr>
        <w:t>within 90 days of last appointment seen</w:t>
      </w:r>
      <w:r w:rsidR="001C4945" w:rsidRPr="00F2180D">
        <w:rPr>
          <w:rFonts w:ascii="CeraGR-Regular" w:eastAsiaTheme="minorHAnsi" w:hAnsi="CeraGR-Regular" w:cs="CeraGR-Regular"/>
          <w:color w:val="474746"/>
          <w:sz w:val="18"/>
          <w:szCs w:val="18"/>
        </w:rPr>
        <w:t xml:space="preserve"> to ensure reimbursement:</w:t>
      </w:r>
    </w:p>
    <w:p w14:paraId="3DBA43C9" w14:textId="38150D97" w:rsidR="0000714B" w:rsidRPr="00FF1A03" w:rsidRDefault="00FF1A03" w:rsidP="005A44B9">
      <w:pPr>
        <w:pStyle w:val="BodyText"/>
        <w:numPr>
          <w:ilvl w:val="1"/>
          <w:numId w:val="8"/>
        </w:numPr>
        <w:ind w:left="360" w:right="314"/>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Explanation of EAP Services</w:t>
      </w:r>
      <w:r w:rsidR="001C4945" w:rsidRPr="00F2180D">
        <w:rPr>
          <w:rFonts w:ascii="CeraGR-Regular" w:eastAsiaTheme="minorHAnsi" w:hAnsi="CeraGR-Regular" w:cs="CeraGR-Regular"/>
          <w:color w:val="474746"/>
          <w:sz w:val="18"/>
          <w:szCs w:val="18"/>
        </w:rPr>
        <w:t xml:space="preserve"> (signed by client) -or- in lieu, the Provider’s signed informed consent</w:t>
      </w:r>
    </w:p>
    <w:p w14:paraId="2DC757A7" w14:textId="49227995" w:rsidR="0000714B" w:rsidRPr="00F2180D" w:rsidRDefault="001C4945" w:rsidP="005A44B9">
      <w:pPr>
        <w:pStyle w:val="BodyText"/>
        <w:numPr>
          <w:ilvl w:val="1"/>
          <w:numId w:val="8"/>
        </w:numPr>
        <w:ind w:left="36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Completed EAP Authorization of Service</w:t>
      </w:r>
    </w:p>
    <w:p w14:paraId="537A6F25" w14:textId="77777777" w:rsidR="0000714B" w:rsidRPr="00F2180D" w:rsidRDefault="0000714B" w:rsidP="00337BEE">
      <w:pPr>
        <w:spacing w:before="6" w:line="360" w:lineRule="auto"/>
        <w:rPr>
          <w:rFonts w:ascii="CeraGR-Regular" w:hAnsi="CeraGR-Regular" w:cs="CeraGR-Regular"/>
          <w:color w:val="474746"/>
          <w:sz w:val="18"/>
          <w:szCs w:val="18"/>
        </w:rPr>
      </w:pPr>
    </w:p>
    <w:p w14:paraId="1B06B13D" w14:textId="72CCE37F" w:rsidR="00337BEE" w:rsidRDefault="00564C42" w:rsidP="005A44B9">
      <w:pPr>
        <w:pStyle w:val="BodyText"/>
        <w:spacing w:before="74" w:line="360" w:lineRule="auto"/>
        <w:ind w:left="0" w:right="323"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P</w:t>
      </w:r>
      <w:r w:rsidR="001C4945" w:rsidRPr="00F2180D">
        <w:rPr>
          <w:rFonts w:ascii="CeraGR-Regular" w:eastAsiaTheme="minorHAnsi" w:hAnsi="CeraGR-Regular" w:cs="CeraGR-Regular"/>
          <w:color w:val="474746"/>
          <w:sz w:val="18"/>
          <w:szCs w:val="18"/>
        </w:rPr>
        <w:t>rovider billing forms (excluding the client-specific Authorization of S</w:t>
      </w:r>
      <w:r w:rsidR="00337BEE">
        <w:rPr>
          <w:rFonts w:ascii="CeraGR-Regular" w:eastAsiaTheme="minorHAnsi" w:hAnsi="CeraGR-Regular" w:cs="CeraGR-Regular"/>
          <w:color w:val="474746"/>
          <w:sz w:val="18"/>
          <w:szCs w:val="18"/>
        </w:rPr>
        <w:t xml:space="preserve">ervice) </w:t>
      </w:r>
      <w:r>
        <w:rPr>
          <w:rFonts w:ascii="CeraGR-Regular" w:eastAsiaTheme="minorHAnsi" w:hAnsi="CeraGR-Regular" w:cs="CeraGR-Regular"/>
          <w:color w:val="474746"/>
          <w:sz w:val="18"/>
          <w:szCs w:val="18"/>
        </w:rPr>
        <w:t xml:space="preserve">can be accessed on the </w:t>
      </w:r>
      <w:r w:rsidR="00337BEE">
        <w:rPr>
          <w:rFonts w:ascii="CeraGR-Regular" w:eastAsiaTheme="minorHAnsi" w:hAnsi="CeraGR-Regular" w:cs="CeraGR-Regular"/>
          <w:color w:val="474746"/>
          <w:sz w:val="18"/>
          <w:szCs w:val="18"/>
        </w:rPr>
        <w:t xml:space="preserve">website: </w:t>
      </w:r>
      <w:hyperlink r:id="rId28" w:history="1">
        <w:r w:rsidR="00337BEE" w:rsidRPr="008A0E0E">
          <w:rPr>
            <w:rStyle w:val="Hyperlink"/>
            <w:rFonts w:ascii="CeraGR-Regular" w:eastAsiaTheme="minorHAnsi" w:hAnsi="CeraGR-Regular" w:cs="CeraGR-Regular"/>
            <w:i/>
            <w:color w:val="2E8989"/>
            <w:sz w:val="18"/>
            <w:szCs w:val="18"/>
          </w:rPr>
          <w:t>www.mygroup.com</w:t>
        </w:r>
      </w:hyperlink>
      <w:r w:rsidR="00337BEE" w:rsidRPr="00337BEE">
        <w:rPr>
          <w:rFonts w:ascii="CeraGR-Regular" w:eastAsiaTheme="minorHAnsi" w:hAnsi="CeraGR-Regular" w:cs="CeraGR-Regular"/>
          <w:i/>
          <w:color w:val="474746"/>
          <w:sz w:val="18"/>
          <w:szCs w:val="18"/>
        </w:rPr>
        <w:t xml:space="preserve"> </w:t>
      </w:r>
      <w:r w:rsidR="00337BEE" w:rsidRPr="00337BEE">
        <w:rPr>
          <w:rFonts w:ascii="CeraGR-Regular" w:eastAsiaTheme="minorHAnsi" w:hAnsi="CeraGR-Regular" w:cs="CeraGR-Regular"/>
          <w:i/>
          <w:color w:val="474746"/>
          <w:sz w:val="18"/>
          <w:szCs w:val="18"/>
        </w:rPr>
        <w:sym w:font="Wingdings" w:char="F0E0"/>
      </w:r>
      <w:r w:rsidR="00337BEE" w:rsidRPr="00337BEE">
        <w:rPr>
          <w:rFonts w:ascii="CeraGR-Regular" w:eastAsiaTheme="minorHAnsi" w:hAnsi="CeraGR-Regular" w:cs="CeraGR-Regular"/>
          <w:i/>
          <w:color w:val="474746"/>
          <w:sz w:val="18"/>
          <w:szCs w:val="18"/>
        </w:rPr>
        <w:t xml:space="preserve"> My Portal Login </w:t>
      </w:r>
      <w:r w:rsidR="00337BEE" w:rsidRPr="00337BEE">
        <w:rPr>
          <w:rFonts w:ascii="CeraGR-Regular" w:eastAsiaTheme="minorHAnsi" w:hAnsi="CeraGR-Regular" w:cs="CeraGR-Regular"/>
          <w:i/>
          <w:color w:val="474746"/>
          <w:sz w:val="18"/>
          <w:szCs w:val="18"/>
        </w:rPr>
        <w:sym w:font="Wingdings" w:char="F0E0"/>
      </w:r>
      <w:r w:rsidR="00337BEE" w:rsidRPr="00337BEE">
        <w:rPr>
          <w:rFonts w:ascii="CeraGR-Regular" w:eastAsiaTheme="minorHAnsi" w:hAnsi="CeraGR-Regular" w:cs="CeraGR-Regular"/>
          <w:i/>
          <w:color w:val="474746"/>
          <w:sz w:val="18"/>
          <w:szCs w:val="18"/>
        </w:rPr>
        <w:t xml:space="preserve"> Provider </w:t>
      </w:r>
      <w:r w:rsidR="00337BEE" w:rsidRPr="00337BEE">
        <w:rPr>
          <w:rFonts w:ascii="CeraGR-Regular" w:eastAsiaTheme="minorHAnsi" w:hAnsi="CeraGR-Regular" w:cs="CeraGR-Regular"/>
          <w:i/>
          <w:color w:val="474746"/>
          <w:sz w:val="18"/>
          <w:szCs w:val="18"/>
        </w:rPr>
        <w:sym w:font="Wingdings" w:char="F0E0"/>
      </w:r>
      <w:r w:rsidR="00337BEE" w:rsidRPr="00337BEE">
        <w:rPr>
          <w:rFonts w:ascii="CeraGR-Regular" w:eastAsiaTheme="minorHAnsi" w:hAnsi="CeraGR-Regular" w:cs="CeraGR-Regular"/>
          <w:i/>
          <w:color w:val="474746"/>
          <w:sz w:val="18"/>
          <w:szCs w:val="18"/>
        </w:rPr>
        <w:t xml:space="preserve"> Username: </w:t>
      </w:r>
      <w:r w:rsidR="00D55831">
        <w:rPr>
          <w:rFonts w:ascii="CeraGR-Regular" w:eastAsiaTheme="minorHAnsi" w:hAnsi="CeraGR-Regular" w:cs="CeraGR-Regular"/>
          <w:b/>
          <w:i/>
          <w:color w:val="474746"/>
          <w:sz w:val="18"/>
          <w:szCs w:val="18"/>
        </w:rPr>
        <w:t>P</w:t>
      </w:r>
      <w:r w:rsidR="00337BEE" w:rsidRPr="00337BEE">
        <w:rPr>
          <w:rFonts w:ascii="CeraGR-Regular" w:eastAsiaTheme="minorHAnsi" w:hAnsi="CeraGR-Regular" w:cs="CeraGR-Regular"/>
          <w:b/>
          <w:i/>
          <w:color w:val="474746"/>
          <w:sz w:val="18"/>
          <w:szCs w:val="18"/>
        </w:rPr>
        <w:t>rovider</w:t>
      </w:r>
      <w:r w:rsidR="00337BEE" w:rsidRPr="00337BEE">
        <w:rPr>
          <w:rFonts w:ascii="CeraGR-Regular" w:eastAsiaTheme="minorHAnsi" w:hAnsi="CeraGR-Regular" w:cs="CeraGR-Regular"/>
          <w:i/>
          <w:color w:val="474746"/>
          <w:sz w:val="18"/>
          <w:szCs w:val="18"/>
        </w:rPr>
        <w:t xml:space="preserve"> Password: </w:t>
      </w:r>
      <w:proofErr w:type="spellStart"/>
      <w:r w:rsidR="001D56AB">
        <w:rPr>
          <w:rFonts w:ascii="CeraGR-Regular" w:eastAsiaTheme="minorHAnsi" w:hAnsi="CeraGR-Regular" w:cs="CeraGR-Regular"/>
          <w:b/>
          <w:i/>
          <w:color w:val="474746"/>
          <w:sz w:val="18"/>
          <w:szCs w:val="18"/>
        </w:rPr>
        <w:t>MYgroup_Provider</w:t>
      </w:r>
      <w:proofErr w:type="spellEnd"/>
      <w:r w:rsidR="001D56AB" w:rsidRPr="00337BEE">
        <w:rPr>
          <w:rFonts w:ascii="CeraGR-Regular" w:eastAsiaTheme="minorHAnsi" w:hAnsi="CeraGR-Regular" w:cs="CeraGR-Regular"/>
          <w:b/>
          <w:i/>
          <w:color w:val="474746"/>
          <w:sz w:val="18"/>
          <w:szCs w:val="18"/>
        </w:rPr>
        <w:t xml:space="preserve"> </w:t>
      </w:r>
      <w:r w:rsidR="00337BEE" w:rsidRPr="00337BEE">
        <w:rPr>
          <w:rFonts w:ascii="CeraGR-Regular" w:eastAsiaTheme="minorHAnsi" w:hAnsi="CeraGR-Regular" w:cs="CeraGR-Regular"/>
          <w:i/>
          <w:color w:val="474746"/>
          <w:sz w:val="18"/>
          <w:szCs w:val="18"/>
        </w:rPr>
        <w:sym w:font="Wingdings" w:char="F0E0"/>
      </w:r>
      <w:r w:rsidR="00337BEE" w:rsidRPr="00337BEE">
        <w:rPr>
          <w:rFonts w:ascii="CeraGR-Regular" w:eastAsiaTheme="minorHAnsi" w:hAnsi="CeraGR-Regular" w:cs="CeraGR-Regular"/>
          <w:i/>
          <w:color w:val="474746"/>
          <w:sz w:val="18"/>
          <w:szCs w:val="18"/>
        </w:rPr>
        <w:t xml:space="preserve"> </w:t>
      </w:r>
      <w:r w:rsidR="003D6B96">
        <w:rPr>
          <w:rFonts w:ascii="CeraGR-Regular" w:eastAsiaTheme="minorHAnsi" w:hAnsi="CeraGR-Regular" w:cs="CeraGR-Regular"/>
          <w:i/>
          <w:color w:val="474746"/>
          <w:sz w:val="18"/>
          <w:szCs w:val="18"/>
        </w:rPr>
        <w:t>Payments.</w:t>
      </w:r>
    </w:p>
    <w:p w14:paraId="77E0FB1D" w14:textId="77777777" w:rsidR="00564C42" w:rsidRDefault="00564C42" w:rsidP="005A44B9">
      <w:pPr>
        <w:pStyle w:val="BodyText"/>
        <w:tabs>
          <w:tab w:val="left" w:pos="2281"/>
        </w:tabs>
        <w:spacing w:line="360" w:lineRule="auto"/>
        <w:ind w:left="0" w:right="314" w:firstLine="0"/>
        <w:jc w:val="both"/>
        <w:rPr>
          <w:rFonts w:ascii="CeraGR-Regular" w:eastAsiaTheme="minorHAnsi" w:hAnsi="CeraGR-Regular" w:cs="CeraGR-Regular"/>
          <w:color w:val="474746"/>
          <w:sz w:val="18"/>
          <w:szCs w:val="18"/>
        </w:rPr>
      </w:pPr>
    </w:p>
    <w:p w14:paraId="62E984BD" w14:textId="31A360E2" w:rsidR="0000714B" w:rsidRPr="00F2180D" w:rsidRDefault="001C4945" w:rsidP="005A44B9">
      <w:pPr>
        <w:pStyle w:val="BodyText"/>
        <w:tabs>
          <w:tab w:val="left" w:pos="2281"/>
        </w:tabs>
        <w:spacing w:line="360" w:lineRule="auto"/>
        <w:ind w:left="0" w:right="314"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If all necessary claim forms are not received together, Provider Management </w:t>
      </w:r>
      <w:r w:rsidR="00564C42">
        <w:rPr>
          <w:rFonts w:ascii="CeraGR-Regular" w:eastAsiaTheme="minorHAnsi" w:hAnsi="CeraGR-Regular" w:cs="CeraGR-Regular"/>
          <w:color w:val="474746"/>
          <w:sz w:val="18"/>
          <w:szCs w:val="18"/>
        </w:rPr>
        <w:t>will make two attempts</w:t>
      </w:r>
      <w:r w:rsidRPr="00F2180D">
        <w:rPr>
          <w:rFonts w:ascii="CeraGR-Regular" w:eastAsiaTheme="minorHAnsi" w:hAnsi="CeraGR-Regular" w:cs="CeraGR-Regular"/>
          <w:color w:val="474746"/>
          <w:sz w:val="18"/>
          <w:szCs w:val="18"/>
        </w:rPr>
        <w:t xml:space="preserve"> to reach the provider by phone or email regarding the missing documentation. </w:t>
      </w:r>
      <w:r w:rsidRPr="00F2180D">
        <w:rPr>
          <w:rFonts w:ascii="CeraGR-Regular" w:eastAsiaTheme="minorHAnsi" w:hAnsi="CeraGR-Regular" w:cs="CeraGR-Regular"/>
          <w:b/>
          <w:color w:val="474746"/>
          <w:sz w:val="18"/>
          <w:szCs w:val="18"/>
        </w:rPr>
        <w:t>Reimbursement will be withheld under the following circumstances*:</w:t>
      </w:r>
    </w:p>
    <w:p w14:paraId="33962838" w14:textId="77777777" w:rsidR="0000714B" w:rsidRPr="00F2180D" w:rsidRDefault="001C4945" w:rsidP="005A44B9">
      <w:pPr>
        <w:pStyle w:val="BodyText"/>
        <w:numPr>
          <w:ilvl w:val="1"/>
          <w:numId w:val="8"/>
        </w:numPr>
        <w:spacing w:line="360" w:lineRule="auto"/>
        <w:ind w:left="360" w:right="314"/>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Missing or expired credentials for the participating provider</w:t>
      </w:r>
    </w:p>
    <w:p w14:paraId="2291B2DA" w14:textId="77777777" w:rsidR="0000714B" w:rsidRPr="00F2180D" w:rsidRDefault="001C4945" w:rsidP="005A44B9">
      <w:pPr>
        <w:pStyle w:val="BodyText"/>
        <w:numPr>
          <w:ilvl w:val="1"/>
          <w:numId w:val="8"/>
        </w:numPr>
        <w:spacing w:line="360" w:lineRule="auto"/>
        <w:ind w:left="360" w:right="314"/>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Missing W-9 form indicating Federal Tax ID Number</w:t>
      </w:r>
    </w:p>
    <w:p w14:paraId="4A872C1D" w14:textId="77777777" w:rsidR="0000714B" w:rsidRPr="00F2180D" w:rsidRDefault="001C4945" w:rsidP="005A44B9">
      <w:pPr>
        <w:pStyle w:val="BodyText"/>
        <w:numPr>
          <w:ilvl w:val="1"/>
          <w:numId w:val="8"/>
        </w:numPr>
        <w:spacing w:line="360" w:lineRule="auto"/>
        <w:ind w:left="360" w:right="314"/>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Missing or incomplete billing claim forms (as indicated below)</w:t>
      </w:r>
    </w:p>
    <w:p w14:paraId="3EB422FC" w14:textId="77777777" w:rsidR="0000714B" w:rsidRPr="00F2180D" w:rsidRDefault="001C4945" w:rsidP="005A44B9">
      <w:pPr>
        <w:pStyle w:val="BodyText"/>
        <w:numPr>
          <w:ilvl w:val="1"/>
          <w:numId w:val="8"/>
        </w:numPr>
        <w:spacing w:line="360" w:lineRule="auto"/>
        <w:ind w:left="360" w:right="314"/>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Late receipt of billing claim forms – one written warning provided</w:t>
      </w:r>
    </w:p>
    <w:p w14:paraId="1FAEFE35" w14:textId="77777777" w:rsidR="0000714B" w:rsidRPr="00F2180D" w:rsidRDefault="0000714B" w:rsidP="00BB5B00">
      <w:pPr>
        <w:pStyle w:val="BodyText"/>
        <w:tabs>
          <w:tab w:val="left" w:pos="2281"/>
        </w:tabs>
        <w:spacing w:line="360" w:lineRule="auto"/>
        <w:ind w:right="314" w:firstLine="0"/>
        <w:jc w:val="right"/>
        <w:rPr>
          <w:rFonts w:ascii="CeraGR-Regular" w:eastAsiaTheme="minorHAnsi" w:hAnsi="CeraGR-Regular" w:cs="CeraGR-Regular"/>
          <w:color w:val="474746"/>
          <w:sz w:val="18"/>
          <w:szCs w:val="18"/>
        </w:rPr>
      </w:pPr>
    </w:p>
    <w:p w14:paraId="175AF6DF" w14:textId="2658C015" w:rsidR="0000714B" w:rsidRPr="003D6B96" w:rsidRDefault="001C4945" w:rsidP="005A44B9">
      <w:pPr>
        <w:pStyle w:val="BodyText"/>
        <w:tabs>
          <w:tab w:val="left" w:pos="2281"/>
        </w:tabs>
        <w:spacing w:line="360" w:lineRule="auto"/>
        <w:ind w:left="0" w:right="314" w:firstLine="0"/>
        <w:rPr>
          <w:rFonts w:ascii="CeraGR-Regular" w:eastAsiaTheme="minorHAnsi" w:hAnsi="CeraGR-Regular" w:cs="CeraGR-Regular"/>
          <w:i/>
          <w:color w:val="474746"/>
          <w:sz w:val="18"/>
          <w:szCs w:val="18"/>
        </w:rPr>
      </w:pPr>
      <w:r w:rsidRPr="003D6B96">
        <w:rPr>
          <w:rFonts w:ascii="CeraGR-Regular" w:eastAsiaTheme="minorHAnsi" w:hAnsi="CeraGR-Regular" w:cs="CeraGR-Regular"/>
          <w:i/>
          <w:color w:val="474746"/>
          <w:sz w:val="18"/>
          <w:szCs w:val="18"/>
        </w:rPr>
        <w:t xml:space="preserve">* Once </w:t>
      </w:r>
      <w:r w:rsidR="00FD6744">
        <w:rPr>
          <w:rFonts w:ascii="CeraGR-Regular" w:eastAsiaTheme="minorHAnsi" w:hAnsi="CeraGR-Regular" w:cs="CeraGR-Regular"/>
          <w:i/>
          <w:color w:val="474746"/>
          <w:sz w:val="18"/>
          <w:szCs w:val="18"/>
        </w:rPr>
        <w:t>MYgroup</w:t>
      </w:r>
      <w:r w:rsidRPr="003D6B96">
        <w:rPr>
          <w:rFonts w:ascii="CeraGR-Regular" w:eastAsiaTheme="minorHAnsi" w:hAnsi="CeraGR-Regular" w:cs="CeraGR-Regular"/>
          <w:i/>
          <w:color w:val="474746"/>
          <w:sz w:val="18"/>
          <w:szCs w:val="18"/>
        </w:rPr>
        <w:t xml:space="preserve"> receives missing forms </w:t>
      </w:r>
      <w:r w:rsidRPr="00564C42">
        <w:rPr>
          <w:rFonts w:ascii="CeraGR-Regular" w:eastAsiaTheme="minorHAnsi" w:hAnsi="CeraGR-Regular" w:cs="CeraGR-Regular"/>
          <w:i/>
          <w:color w:val="474746"/>
          <w:sz w:val="18"/>
          <w:szCs w:val="18"/>
          <w:u w:val="single"/>
        </w:rPr>
        <w:t>within 90 days of last appointment</w:t>
      </w:r>
      <w:r w:rsidRPr="003D6B96">
        <w:rPr>
          <w:rFonts w:ascii="CeraGR-Regular" w:eastAsiaTheme="minorHAnsi" w:hAnsi="CeraGR-Regular" w:cs="CeraGR-Regular"/>
          <w:i/>
          <w:color w:val="474746"/>
          <w:sz w:val="18"/>
          <w:szCs w:val="18"/>
        </w:rPr>
        <w:t xml:space="preserve">, the </w:t>
      </w:r>
      <w:r w:rsidR="00564C42">
        <w:rPr>
          <w:rFonts w:ascii="CeraGR-Regular" w:eastAsiaTheme="minorHAnsi" w:hAnsi="CeraGR-Regular" w:cs="CeraGR-Regular"/>
          <w:i/>
          <w:color w:val="474746"/>
          <w:sz w:val="18"/>
          <w:szCs w:val="18"/>
        </w:rPr>
        <w:t>p</w:t>
      </w:r>
      <w:r w:rsidRPr="003D6B96">
        <w:rPr>
          <w:rFonts w:ascii="CeraGR-Regular" w:eastAsiaTheme="minorHAnsi" w:hAnsi="CeraGR-Regular" w:cs="CeraGR-Regular"/>
          <w:i/>
          <w:color w:val="474746"/>
          <w:sz w:val="18"/>
          <w:szCs w:val="18"/>
        </w:rPr>
        <w:t>rovider will be reimbursed for services rendered.</w:t>
      </w:r>
    </w:p>
    <w:p w14:paraId="17BD84A8" w14:textId="77777777" w:rsidR="003D6B96" w:rsidRPr="00F2180D" w:rsidRDefault="003D6B96" w:rsidP="005A44B9">
      <w:pPr>
        <w:pStyle w:val="BodyText"/>
        <w:tabs>
          <w:tab w:val="left" w:pos="2281"/>
        </w:tabs>
        <w:spacing w:line="360" w:lineRule="auto"/>
        <w:ind w:left="0" w:right="314" w:firstLine="0"/>
        <w:rPr>
          <w:rFonts w:ascii="CeraGR-Regular" w:eastAsiaTheme="minorHAnsi" w:hAnsi="CeraGR-Regular" w:cs="CeraGR-Regular"/>
          <w:color w:val="474746"/>
          <w:sz w:val="18"/>
          <w:szCs w:val="18"/>
        </w:rPr>
      </w:pPr>
    </w:p>
    <w:p w14:paraId="5C96EAFC" w14:textId="30095DD9" w:rsidR="009E079B" w:rsidRPr="00F2180D" w:rsidRDefault="001C4945" w:rsidP="005A44B9">
      <w:pPr>
        <w:pStyle w:val="BodyText"/>
        <w:spacing w:after="240" w:line="360" w:lineRule="auto"/>
        <w:ind w:left="0" w:right="176"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The Authorization of Service.</w:t>
      </w:r>
      <w:r w:rsidRPr="00F2180D">
        <w:rPr>
          <w:b/>
          <w:color w:val="1F354D"/>
          <w:sz w:val="18"/>
          <w:szCs w:val="18"/>
        </w:rPr>
        <w:t xml:space="preserve"> </w:t>
      </w:r>
      <w:r w:rsidRPr="00F2180D">
        <w:rPr>
          <w:rFonts w:ascii="CeraGR-Regular" w:eastAsiaTheme="minorHAnsi" w:hAnsi="CeraGR-Regular" w:cs="CeraGR-Regular"/>
          <w:color w:val="474746"/>
          <w:sz w:val="18"/>
          <w:szCs w:val="18"/>
        </w:rPr>
        <w:t>Providers must fill out all forms and check appropriate boxes to completion and direct any question to the corresponding case manager (located on the Authorization of Service). If you feel that you need further guidance on how to fill out the bottom portion of the EAP Authorization of Service, please contact the assigned case manager.</w:t>
      </w:r>
      <w:r w:rsidR="004033EF">
        <w:rPr>
          <w:rFonts w:ascii="CeraGR-Regular" w:eastAsiaTheme="minorHAnsi" w:hAnsi="CeraGR-Regular" w:cs="CeraGR-Regular"/>
          <w:color w:val="474746"/>
          <w:sz w:val="18"/>
          <w:szCs w:val="18"/>
        </w:rPr>
        <w:t xml:space="preserve"> Providers are not allowed to bill insurance while the client is under </w:t>
      </w:r>
      <w:r w:rsidR="00FD6744">
        <w:rPr>
          <w:rFonts w:ascii="CeraGR-Regular" w:eastAsiaTheme="minorHAnsi" w:hAnsi="CeraGR-Regular" w:cs="CeraGR-Regular"/>
          <w:color w:val="474746"/>
          <w:sz w:val="18"/>
          <w:szCs w:val="18"/>
        </w:rPr>
        <w:t>MYgroup</w:t>
      </w:r>
      <w:r w:rsidR="004033EF">
        <w:rPr>
          <w:rFonts w:ascii="CeraGR-Regular" w:eastAsiaTheme="minorHAnsi" w:hAnsi="CeraGR-Regular" w:cs="CeraGR-Regular"/>
          <w:color w:val="474746"/>
          <w:sz w:val="18"/>
          <w:szCs w:val="18"/>
        </w:rPr>
        <w:t xml:space="preserve">. </w:t>
      </w:r>
      <w:r w:rsidR="00564C42">
        <w:rPr>
          <w:rFonts w:ascii="CeraGR-Regular" w:eastAsiaTheme="minorHAnsi" w:hAnsi="CeraGR-Regular" w:cs="CeraGR-Regular"/>
          <w:color w:val="474746"/>
          <w:sz w:val="18"/>
          <w:szCs w:val="18"/>
        </w:rPr>
        <w:t xml:space="preserve">When the client is </w:t>
      </w:r>
      <w:r w:rsidR="00B02960">
        <w:rPr>
          <w:rFonts w:ascii="CeraGR-Regular" w:eastAsiaTheme="minorHAnsi" w:hAnsi="CeraGR-Regular" w:cs="CeraGR-Regular"/>
          <w:color w:val="474746"/>
          <w:sz w:val="18"/>
          <w:szCs w:val="18"/>
        </w:rPr>
        <w:t xml:space="preserve">transitioned out of EAP by </w:t>
      </w:r>
      <w:r w:rsidR="00564C42">
        <w:rPr>
          <w:rFonts w:ascii="CeraGR-Regular" w:eastAsiaTheme="minorHAnsi" w:hAnsi="CeraGR-Regular" w:cs="CeraGR-Regular"/>
          <w:color w:val="474746"/>
          <w:sz w:val="18"/>
          <w:szCs w:val="18"/>
        </w:rPr>
        <w:t>either referr</w:t>
      </w:r>
      <w:r w:rsidR="00B02960">
        <w:rPr>
          <w:rFonts w:ascii="CeraGR-Regular" w:eastAsiaTheme="minorHAnsi" w:hAnsi="CeraGR-Regular" w:cs="CeraGR-Regular"/>
          <w:color w:val="474746"/>
          <w:sz w:val="18"/>
          <w:szCs w:val="18"/>
        </w:rPr>
        <w:t>al</w:t>
      </w:r>
      <w:r w:rsidR="00564C42">
        <w:rPr>
          <w:rFonts w:ascii="CeraGR-Regular" w:eastAsiaTheme="minorHAnsi" w:hAnsi="CeraGR-Regular" w:cs="CeraGR-Regular"/>
          <w:color w:val="474746"/>
          <w:sz w:val="18"/>
          <w:szCs w:val="18"/>
        </w:rPr>
        <w:t xml:space="preserve"> to another provider or self-referral, there must be an explicit conversation explaining to the client that they (or their insurance company) will be financially responsible for those sessions.</w:t>
      </w:r>
    </w:p>
    <w:p w14:paraId="24C1AA1A" w14:textId="389BE55A" w:rsidR="00BB5B00" w:rsidRPr="00F2180D" w:rsidRDefault="001C4945" w:rsidP="005A44B9">
      <w:pPr>
        <w:pStyle w:val="BodyText"/>
        <w:spacing w:after="240" w:line="360" w:lineRule="auto"/>
        <w:ind w:left="0" w:right="176" w:firstLine="0"/>
        <w:rPr>
          <w:rFonts w:ascii="CeraGR-Regular" w:eastAsiaTheme="minorHAnsi" w:hAnsi="CeraGR-Regular" w:cs="CeraGR-Regular"/>
          <w:color w:val="474746"/>
          <w:sz w:val="18"/>
          <w:szCs w:val="18"/>
        </w:rPr>
      </w:pPr>
      <w:r w:rsidRPr="00F2180D">
        <w:rPr>
          <w:rFonts w:ascii="Centrale Sans Regular" w:eastAsiaTheme="minorEastAsia" w:hAnsi="Centrale Sans Regular"/>
          <w:b/>
          <w:color w:val="1F354D"/>
          <w:sz w:val="18"/>
          <w:szCs w:val="18"/>
        </w:rPr>
        <w:t>For Interim Billing</w:t>
      </w:r>
      <w:r w:rsidR="006E409A">
        <w:rPr>
          <w:rFonts w:ascii="Centrale Sans Regular" w:eastAsiaTheme="minorEastAsia" w:hAnsi="Centrale Sans Regular"/>
          <w:b/>
          <w:color w:val="1F354D"/>
          <w:sz w:val="18"/>
          <w:szCs w:val="18"/>
        </w:rPr>
        <w:t>.</w:t>
      </w:r>
      <w:r w:rsidRPr="00F2180D">
        <w:rPr>
          <w:rFonts w:ascii="CeraGR-Regular" w:eastAsiaTheme="minorHAnsi" w:hAnsi="CeraGR-Regular" w:cs="CeraGR-Regular"/>
          <w:color w:val="6D6E71"/>
          <w:sz w:val="18"/>
          <w:szCs w:val="18"/>
        </w:rPr>
        <w:t xml:space="preserve"> </w:t>
      </w:r>
      <w:r w:rsidR="006E409A">
        <w:rPr>
          <w:rFonts w:ascii="CeraGR-Regular" w:eastAsiaTheme="minorHAnsi" w:hAnsi="CeraGR-Regular" w:cs="CeraGR-Regular"/>
          <w:color w:val="6D6E71"/>
          <w:sz w:val="18"/>
          <w:szCs w:val="18"/>
        </w:rPr>
        <w:t>I</w:t>
      </w:r>
      <w:r w:rsidRPr="00F2180D">
        <w:rPr>
          <w:rFonts w:ascii="CeraGR-Regular" w:eastAsiaTheme="minorHAnsi" w:hAnsi="CeraGR-Regular" w:cs="CeraGR-Regular"/>
          <w:color w:val="474746"/>
          <w:sz w:val="18"/>
          <w:szCs w:val="18"/>
        </w:rPr>
        <w:t>nclude the client’s primary assessed problem area, whether risk of harm to self or other was indicated, the short-term goals/objectives for EAP treatment, and your signature.</w:t>
      </w:r>
    </w:p>
    <w:p w14:paraId="34A77825" w14:textId="6D56DE52" w:rsidR="002C7476" w:rsidRPr="00AF0312" w:rsidRDefault="001C4945" w:rsidP="005A44B9">
      <w:pPr>
        <w:pStyle w:val="BodyText"/>
        <w:spacing w:after="240" w:line="360" w:lineRule="auto"/>
        <w:ind w:left="0" w:right="176" w:firstLine="0"/>
        <w:rPr>
          <w:rFonts w:ascii="CeraGR-Regular" w:eastAsiaTheme="minorHAnsi" w:hAnsi="CeraGR-Regular" w:cs="CeraGR-Regular"/>
          <w:color w:val="404040" w:themeColor="text1" w:themeTint="BF"/>
          <w:sz w:val="18"/>
          <w:szCs w:val="18"/>
        </w:rPr>
      </w:pPr>
      <w:r w:rsidRPr="00F2180D">
        <w:rPr>
          <w:rFonts w:ascii="Centrale Sans Regular" w:eastAsiaTheme="minorEastAsia" w:hAnsi="Centrale Sans Regular"/>
          <w:b/>
          <w:color w:val="1F354D"/>
          <w:sz w:val="18"/>
          <w:szCs w:val="18"/>
        </w:rPr>
        <w:t>For Final Billing</w:t>
      </w:r>
      <w:r w:rsidR="006E409A">
        <w:rPr>
          <w:rFonts w:ascii="Centrale Sans Regular" w:eastAsiaTheme="minorEastAsia" w:hAnsi="Centrale Sans Regular"/>
          <w:b/>
          <w:color w:val="1F354D"/>
          <w:sz w:val="18"/>
          <w:szCs w:val="18"/>
        </w:rPr>
        <w:t xml:space="preserve">. </w:t>
      </w:r>
      <w:r w:rsidR="006E409A">
        <w:rPr>
          <w:rFonts w:ascii="CeraGR-Regular" w:eastAsiaTheme="minorHAnsi" w:hAnsi="CeraGR-Regular" w:cs="CeraGR-Regular"/>
          <w:color w:val="474746"/>
          <w:sz w:val="18"/>
          <w:szCs w:val="18"/>
        </w:rPr>
        <w:t>In</w:t>
      </w:r>
      <w:r w:rsidRPr="00F2180D">
        <w:rPr>
          <w:rFonts w:ascii="CeraGR-Regular" w:eastAsiaTheme="minorHAnsi" w:hAnsi="CeraGR-Regular" w:cs="CeraGR-Regular"/>
          <w:color w:val="474746"/>
          <w:sz w:val="18"/>
          <w:szCs w:val="18"/>
        </w:rPr>
        <w:t xml:space="preserve">clude the above as noted in interim billing, along with the summary of treatment, including the resolution, recommendation(s), and his/her problem status at closing. Final case </w:t>
      </w:r>
      <w:r w:rsidRPr="00AF0312">
        <w:rPr>
          <w:rFonts w:ascii="CeraGR-Regular" w:eastAsiaTheme="minorHAnsi" w:hAnsi="CeraGR-Regular" w:cs="CeraGR-Regular"/>
          <w:color w:val="404040" w:themeColor="text1" w:themeTint="BF"/>
          <w:sz w:val="18"/>
          <w:szCs w:val="18"/>
        </w:rPr>
        <w:t>closure is indicated by the EAP services completion date.</w:t>
      </w:r>
    </w:p>
    <w:p w14:paraId="17B8EEF9" w14:textId="77777777" w:rsidR="00D271A6" w:rsidRPr="00F2180D" w:rsidRDefault="001C4945" w:rsidP="005A44B9">
      <w:pPr>
        <w:spacing w:after="240" w:line="360" w:lineRule="auto"/>
        <w:ind w:right="131"/>
        <w:rPr>
          <w:rFonts w:ascii="Garamond" w:eastAsia="Garamond" w:hAnsi="Garamond" w:cs="Garamond"/>
          <w:color w:val="474746"/>
          <w:sz w:val="18"/>
          <w:szCs w:val="18"/>
        </w:rPr>
      </w:pPr>
      <w:r w:rsidRPr="00F2180D">
        <w:rPr>
          <w:rFonts w:ascii="Centrale Sans Regular" w:eastAsiaTheme="minorEastAsia" w:hAnsi="Centrale Sans Regular"/>
          <w:b/>
          <w:color w:val="1F354D"/>
          <w:sz w:val="18"/>
          <w:szCs w:val="18"/>
        </w:rPr>
        <w:lastRenderedPageBreak/>
        <w:t>Inquiries Regarding Payment Rendered.</w:t>
      </w:r>
      <w:r w:rsidRPr="00F2180D">
        <w:rPr>
          <w:rFonts w:ascii="Garamond"/>
          <w:b/>
          <w:color w:val="1F354D"/>
          <w:spacing w:val="-2"/>
          <w:sz w:val="18"/>
          <w:szCs w:val="18"/>
        </w:rPr>
        <w:t xml:space="preserve"> </w:t>
      </w:r>
      <w:r w:rsidRPr="00F2180D">
        <w:rPr>
          <w:rFonts w:ascii="CeraGR-Regular" w:hAnsi="CeraGR-Regular" w:cs="CeraGR-Regular"/>
          <w:color w:val="474746"/>
          <w:sz w:val="18"/>
          <w:szCs w:val="18"/>
        </w:rPr>
        <w:t xml:space="preserve">Payments for services rendered will be processed in a timely manner. You can expect to </w:t>
      </w:r>
      <w:r w:rsidR="00DE4E7C">
        <w:rPr>
          <w:rFonts w:ascii="CeraGR-Regular" w:hAnsi="CeraGR-Regular" w:cs="CeraGR-Regular"/>
          <w:color w:val="474746"/>
          <w:sz w:val="18"/>
          <w:szCs w:val="18"/>
        </w:rPr>
        <w:t>receive reimbursement within 2-4</w:t>
      </w:r>
      <w:r w:rsidRPr="00F2180D">
        <w:rPr>
          <w:rFonts w:ascii="CeraGR-Regular" w:hAnsi="CeraGR-Regular" w:cs="CeraGR-Regular"/>
          <w:color w:val="474746"/>
          <w:sz w:val="18"/>
          <w:szCs w:val="18"/>
        </w:rPr>
        <w:t xml:space="preserve"> weeks of receipt of completed billing claim forms. </w:t>
      </w:r>
      <w:r w:rsidRPr="00F2180D">
        <w:rPr>
          <w:rFonts w:ascii="CeraGR-Regular" w:hAnsi="CeraGR-Regular" w:cs="CeraGR-Regular"/>
          <w:i/>
          <w:color w:val="474746"/>
          <w:sz w:val="18"/>
          <w:szCs w:val="18"/>
        </w:rPr>
        <w:t>Billing may be slightly delayed around nationally observed holidays</w:t>
      </w:r>
      <w:r w:rsidRPr="00F2180D">
        <w:rPr>
          <w:rFonts w:ascii="CeraGR-Regular" w:hAnsi="CeraGR-Regular" w:cs="CeraGR-Regular"/>
          <w:color w:val="474746"/>
          <w:sz w:val="18"/>
          <w:szCs w:val="18"/>
        </w:rPr>
        <w:t>.</w:t>
      </w:r>
    </w:p>
    <w:p w14:paraId="2CB47D88" w14:textId="550B7889" w:rsidR="002C7476" w:rsidRDefault="001C4945" w:rsidP="009601B3">
      <w:pPr>
        <w:pStyle w:val="BodyText"/>
        <w:spacing w:line="360" w:lineRule="auto"/>
        <w:ind w:left="0" w:right="173"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If you have not received payment, you can </w:t>
      </w:r>
      <w:r w:rsidR="00AF0312">
        <w:rPr>
          <w:rFonts w:ascii="CeraGR-Regular" w:eastAsiaTheme="minorHAnsi" w:hAnsi="CeraGR-Regular" w:cs="CeraGR-Regular"/>
          <w:color w:val="474746"/>
          <w:sz w:val="18"/>
          <w:szCs w:val="18"/>
        </w:rPr>
        <w:t>ask for details from</w:t>
      </w:r>
      <w:r w:rsidRPr="00F2180D">
        <w:rPr>
          <w:rFonts w:ascii="CeraGR-Regular" w:eastAsiaTheme="minorHAnsi" w:hAnsi="CeraGR-Regular" w:cs="CeraGR-Regular"/>
          <w:color w:val="474746"/>
          <w:sz w:val="18"/>
          <w:szCs w:val="18"/>
        </w:rPr>
        <w:t xml:space="preserve"> Provider Management</w:t>
      </w:r>
      <w:r w:rsidR="00AF0312">
        <w:rPr>
          <w:rFonts w:ascii="CeraGR-Regular" w:eastAsiaTheme="minorHAnsi" w:hAnsi="CeraGR-Regular" w:cs="CeraGR-Regular"/>
          <w:color w:val="474746"/>
          <w:sz w:val="18"/>
          <w:szCs w:val="18"/>
        </w:rPr>
        <w:t xml:space="preserve">. Please include the following information with your request: </w:t>
      </w:r>
      <w:r w:rsidRPr="00F2180D">
        <w:rPr>
          <w:rFonts w:ascii="CeraGR-Regular" w:eastAsiaTheme="minorHAnsi" w:hAnsi="CeraGR-Regular" w:cs="CeraGR-Regular"/>
          <w:color w:val="474746"/>
          <w:sz w:val="18"/>
          <w:szCs w:val="18"/>
        </w:rPr>
        <w:t>Provider Name, Client # (located on the Authorization of Service), Session Dates, and date submitted. Please also include the billing address for confirmation.</w:t>
      </w:r>
      <w:bookmarkStart w:id="8" w:name="_bookmark8"/>
      <w:bookmarkEnd w:id="8"/>
    </w:p>
    <w:p w14:paraId="341C0107" w14:textId="77777777" w:rsidR="009601B3" w:rsidRPr="00BD322F" w:rsidRDefault="009601B3" w:rsidP="00BD322F">
      <w:pPr>
        <w:pStyle w:val="BodyText"/>
        <w:ind w:left="0" w:right="173" w:firstLine="0"/>
        <w:rPr>
          <w:rFonts w:eastAsiaTheme="minorHAnsi" w:cs="CeraGR-Regular"/>
          <w:color w:val="474746"/>
          <w:sz w:val="27"/>
          <w:szCs w:val="27"/>
        </w:rPr>
      </w:pPr>
    </w:p>
    <w:p w14:paraId="38F211E6" w14:textId="586A1F8E" w:rsidR="00BB5B00" w:rsidRDefault="001C4945" w:rsidP="009601B3">
      <w:pPr>
        <w:pStyle w:val="Heading2"/>
        <w:numPr>
          <w:ilvl w:val="0"/>
          <w:numId w:val="8"/>
        </w:numPr>
        <w:jc w:val="left"/>
        <w:rPr>
          <w:rFonts w:ascii="CeraGR-Regular" w:eastAsiaTheme="minorHAnsi" w:hAnsi="CeraGR-Regular" w:cs="CeraGR-Regular"/>
          <w:bCs w:val="0"/>
          <w:color w:val="1F354D"/>
          <w:sz w:val="24"/>
          <w:szCs w:val="24"/>
        </w:rPr>
      </w:pPr>
      <w:r w:rsidRPr="009216D5">
        <w:rPr>
          <w:rFonts w:ascii="CeraGR-Regular" w:eastAsiaTheme="minorHAnsi" w:hAnsi="CeraGR-Regular" w:cs="CeraGR-Regular"/>
          <w:bCs w:val="0"/>
          <w:color w:val="1F354D"/>
          <w:sz w:val="24"/>
          <w:szCs w:val="24"/>
        </w:rPr>
        <w:t>FREQUENTLY ASKED QUESTIONS</w:t>
      </w:r>
    </w:p>
    <w:p w14:paraId="7A497EB9" w14:textId="77777777" w:rsidR="009601B3" w:rsidRPr="009601B3" w:rsidRDefault="009601B3" w:rsidP="00BD322F">
      <w:pPr>
        <w:pStyle w:val="Heading2"/>
        <w:ind w:left="720" w:firstLine="0"/>
        <w:jc w:val="right"/>
        <w:rPr>
          <w:rFonts w:eastAsiaTheme="minorHAnsi" w:cs="CeraGR-Regular"/>
          <w:bCs w:val="0"/>
          <w:color w:val="1F354D"/>
          <w:sz w:val="24"/>
          <w:szCs w:val="24"/>
        </w:rPr>
      </w:pPr>
    </w:p>
    <w:p w14:paraId="39A58716" w14:textId="3662D3A8" w:rsidR="00BB5B00" w:rsidRPr="00F2180D" w:rsidRDefault="001C4945" w:rsidP="009601B3">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 xml:space="preserve">Can I have additional providers within my group practice credentialed with </w:t>
      </w:r>
      <w:r w:rsidR="00FD6744">
        <w:rPr>
          <w:rFonts w:ascii="Centrale Sans Regular" w:hAnsi="Centrale Sans Regular"/>
          <w:b/>
          <w:color w:val="1F354D"/>
        </w:rPr>
        <w:t>MYgroup</w:t>
      </w:r>
      <w:r w:rsidRPr="00F2180D">
        <w:rPr>
          <w:rFonts w:ascii="Centrale Sans Regular" w:hAnsi="Centrale Sans Regular"/>
          <w:b/>
          <w:color w:val="1F354D"/>
        </w:rPr>
        <w:t>?</w:t>
      </w:r>
    </w:p>
    <w:p w14:paraId="1E3C2B5D" w14:textId="435E4411" w:rsidR="0000714B" w:rsidRPr="00F2180D" w:rsidRDefault="001C4945" w:rsidP="005A44B9">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Yes, so long as s</w:t>
      </w:r>
      <w:r w:rsidR="00AF0312">
        <w:rPr>
          <w:rFonts w:ascii="CeraGR-Regular" w:eastAsiaTheme="minorHAnsi" w:hAnsi="CeraGR-Regular" w:cs="CeraGR-Regular"/>
          <w:color w:val="474746"/>
          <w:sz w:val="18"/>
          <w:szCs w:val="18"/>
        </w:rPr>
        <w:t>/</w:t>
      </w:r>
      <w:r w:rsidRPr="00F2180D">
        <w:rPr>
          <w:rFonts w:ascii="CeraGR-Regular" w:eastAsiaTheme="minorHAnsi" w:hAnsi="CeraGR-Regular" w:cs="CeraGR-Regular"/>
          <w:color w:val="474746"/>
          <w:sz w:val="18"/>
          <w:szCs w:val="18"/>
        </w:rPr>
        <w:t xml:space="preserve">he meets the minimum requirements of licensure and professional liability. </w:t>
      </w:r>
      <w:r w:rsidR="00AF0312">
        <w:rPr>
          <w:rFonts w:ascii="CeraGR-Regular" w:eastAsiaTheme="minorHAnsi" w:hAnsi="CeraGR-Regular" w:cs="CeraGR-Regular"/>
          <w:color w:val="474746"/>
          <w:sz w:val="18"/>
          <w:szCs w:val="18"/>
        </w:rPr>
        <w:t>S/</w:t>
      </w:r>
      <w:r w:rsidRPr="00F2180D">
        <w:rPr>
          <w:rFonts w:ascii="CeraGR-Regular" w:eastAsiaTheme="minorHAnsi" w:hAnsi="CeraGR-Regular" w:cs="CeraGR-Regular"/>
          <w:color w:val="474746"/>
          <w:sz w:val="18"/>
          <w:szCs w:val="18"/>
        </w:rPr>
        <w:t xml:space="preserve">he will also need to agree to uphold the Business Associate Agreement, adhere to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standards of service as outlined in the Provider Handbook, and contact Provider Management with any questions pertaining to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services rendered.</w:t>
      </w:r>
      <w:r w:rsidR="008B775A">
        <w:rPr>
          <w:rFonts w:ascii="CeraGR-Regular" w:eastAsiaTheme="minorHAnsi" w:hAnsi="CeraGR-Regular" w:cs="CeraGR-Regular"/>
          <w:color w:val="474746"/>
          <w:sz w:val="18"/>
          <w:szCs w:val="18"/>
        </w:rPr>
        <w:t xml:space="preserve"> The additional providers in your practice must not see </w:t>
      </w:r>
      <w:r w:rsidR="00FD6744">
        <w:rPr>
          <w:rFonts w:ascii="CeraGR-Regular" w:eastAsiaTheme="minorHAnsi" w:hAnsi="CeraGR-Regular" w:cs="CeraGR-Regular"/>
          <w:color w:val="474746"/>
          <w:sz w:val="18"/>
          <w:szCs w:val="18"/>
        </w:rPr>
        <w:t>MYgroup</w:t>
      </w:r>
      <w:r w:rsidR="008B775A">
        <w:rPr>
          <w:rFonts w:ascii="CeraGR-Regular" w:eastAsiaTheme="minorHAnsi" w:hAnsi="CeraGR-Regular" w:cs="CeraGR-Regular"/>
          <w:color w:val="474746"/>
          <w:sz w:val="18"/>
          <w:szCs w:val="18"/>
        </w:rPr>
        <w:t xml:space="preserve"> clients until their application materials have been received and approved, even if you believe they meet the requirements.</w:t>
      </w:r>
      <w:r w:rsidR="004033EF">
        <w:rPr>
          <w:rFonts w:ascii="CeraGR-Regular" w:eastAsiaTheme="minorHAnsi" w:hAnsi="CeraGR-Regular" w:cs="CeraGR-Regular"/>
          <w:color w:val="474746"/>
          <w:sz w:val="18"/>
          <w:szCs w:val="18"/>
        </w:rPr>
        <w:t xml:space="preserve"> If a provider sees a client before they are approved by </w:t>
      </w:r>
      <w:r w:rsidR="00FD6744">
        <w:rPr>
          <w:rFonts w:ascii="CeraGR-Regular" w:eastAsiaTheme="minorHAnsi" w:hAnsi="CeraGR-Regular" w:cs="CeraGR-Regular"/>
          <w:color w:val="474746"/>
          <w:sz w:val="18"/>
          <w:szCs w:val="18"/>
        </w:rPr>
        <w:t>MYgroup</w:t>
      </w:r>
      <w:r w:rsidR="004033EF">
        <w:rPr>
          <w:rFonts w:ascii="CeraGR-Regular" w:eastAsiaTheme="minorHAnsi" w:hAnsi="CeraGR-Regular" w:cs="CeraGR-Regular"/>
          <w:color w:val="474746"/>
          <w:sz w:val="18"/>
          <w:szCs w:val="18"/>
        </w:rPr>
        <w:t>, those sessions will not be reimbursed unless previously approved by the EAP Director.</w:t>
      </w:r>
    </w:p>
    <w:p w14:paraId="0558567F" w14:textId="77777777" w:rsidR="009E079B" w:rsidRPr="00F2180D" w:rsidRDefault="009E079B" w:rsidP="005A44B9">
      <w:pPr>
        <w:pStyle w:val="BodyText"/>
        <w:spacing w:line="360" w:lineRule="auto"/>
        <w:ind w:left="0" w:right="176" w:firstLine="0"/>
        <w:rPr>
          <w:rFonts w:ascii="CeraGR-Regular" w:eastAsiaTheme="minorHAnsi" w:hAnsi="CeraGR-Regular" w:cs="CeraGR-Regular"/>
          <w:color w:val="6D6E71"/>
          <w:sz w:val="18"/>
          <w:szCs w:val="18"/>
        </w:rPr>
      </w:pPr>
    </w:p>
    <w:p w14:paraId="28FAF318" w14:textId="77777777" w:rsidR="0000714B" w:rsidRPr="00F2180D" w:rsidRDefault="001C4945" w:rsidP="00A61547">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How long does reimbursement take?</w:t>
      </w:r>
    </w:p>
    <w:p w14:paraId="3E4CB8F5" w14:textId="6FD82C74" w:rsidR="0000714B" w:rsidRPr="00F2180D" w:rsidRDefault="001C4945" w:rsidP="005A44B9">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Payment takes approximately 2-3 weeks. If you do not receive payment within two weeks, you may contact Provider Management to ensure</w:t>
      </w:r>
      <w:r w:rsidR="00D271A6" w:rsidRPr="00F2180D">
        <w:rPr>
          <w:rFonts w:ascii="CeraGR-Regular" w:eastAsiaTheme="minorHAnsi" w:hAnsi="CeraGR-Regular" w:cs="CeraGR-Regular"/>
          <w:color w:val="474746"/>
          <w:sz w:val="18"/>
          <w:szCs w:val="18"/>
        </w:rPr>
        <w:t xml:space="preserve"> receipt </w:t>
      </w:r>
      <w:r w:rsidRPr="00F2180D">
        <w:rPr>
          <w:rFonts w:ascii="CeraGR-Regular" w:eastAsiaTheme="minorHAnsi" w:hAnsi="CeraGR-Regular" w:cs="CeraGR-Regular"/>
          <w:color w:val="474746"/>
          <w:sz w:val="18"/>
          <w:szCs w:val="18"/>
        </w:rPr>
        <w:t>of billing claim forms; please provide the client number and billed dates of service to expedite request.</w:t>
      </w:r>
    </w:p>
    <w:p w14:paraId="206075A8" w14:textId="77777777" w:rsidR="00BB5B00" w:rsidRPr="00F2180D" w:rsidRDefault="00BB5B00" w:rsidP="005A44B9">
      <w:pPr>
        <w:pStyle w:val="BodyText"/>
        <w:spacing w:line="360" w:lineRule="auto"/>
        <w:ind w:left="0" w:right="176" w:firstLine="0"/>
        <w:rPr>
          <w:rFonts w:ascii="CeraGR-Regular" w:eastAsiaTheme="minorHAnsi" w:hAnsi="CeraGR-Regular" w:cs="CeraGR-Regular"/>
          <w:color w:val="6D6E71"/>
          <w:sz w:val="18"/>
          <w:szCs w:val="18"/>
        </w:rPr>
      </w:pPr>
    </w:p>
    <w:p w14:paraId="2F8E8207" w14:textId="77777777" w:rsidR="0000714B" w:rsidRPr="00F2180D" w:rsidRDefault="001C4945" w:rsidP="00A61547">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How can I expedite payment for services?</w:t>
      </w:r>
    </w:p>
    <w:p w14:paraId="091F11C6" w14:textId="70F2A947" w:rsidR="0000714B" w:rsidRDefault="001C4945" w:rsidP="005A44B9">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To ensure </w:t>
      </w:r>
      <w:r w:rsidR="00D9667C" w:rsidRPr="00F2180D">
        <w:rPr>
          <w:rFonts w:ascii="CeraGR-Regular" w:eastAsiaTheme="minorHAnsi" w:hAnsi="CeraGR-Regular" w:cs="CeraGR-Regular"/>
          <w:color w:val="474746"/>
          <w:sz w:val="18"/>
          <w:szCs w:val="18"/>
        </w:rPr>
        <w:t>prompt</w:t>
      </w:r>
      <w:r w:rsidRPr="00F2180D">
        <w:rPr>
          <w:rFonts w:ascii="CeraGR-Regular" w:eastAsiaTheme="minorHAnsi" w:hAnsi="CeraGR-Regular" w:cs="CeraGR-Regular"/>
          <w:color w:val="474746"/>
          <w:sz w:val="18"/>
          <w:szCs w:val="18"/>
        </w:rPr>
        <w:t xml:space="preserve"> payment, ensure that you have a current copy of your licensure, professional malpractice insurance, and Form W-9 (indicating taxpayer identification number) on file with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Other concerns that delay payment include incomplete and illegible forms.</w:t>
      </w:r>
    </w:p>
    <w:p w14:paraId="75D05D59" w14:textId="559A08E8" w:rsidR="00B02960" w:rsidRDefault="00B02960" w:rsidP="005A44B9">
      <w:pPr>
        <w:pStyle w:val="BodyText"/>
        <w:spacing w:line="360" w:lineRule="auto"/>
        <w:ind w:left="0" w:right="176" w:firstLine="0"/>
        <w:rPr>
          <w:rFonts w:ascii="CeraGR-Regular" w:eastAsiaTheme="minorHAnsi" w:hAnsi="CeraGR-Regular" w:cs="CeraGR-Regular"/>
          <w:color w:val="474746"/>
          <w:sz w:val="18"/>
          <w:szCs w:val="18"/>
        </w:rPr>
      </w:pPr>
    </w:p>
    <w:p w14:paraId="5D8B73F0" w14:textId="45B7E5CF" w:rsidR="00B02960" w:rsidRPr="00F2180D" w:rsidRDefault="00B02960" w:rsidP="00A61547">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What</w:t>
      </w:r>
      <w:r>
        <w:rPr>
          <w:rFonts w:ascii="Centrale Sans Regular" w:hAnsi="Centrale Sans Regular"/>
          <w:b/>
          <w:color w:val="1F354D"/>
        </w:rPr>
        <w:t xml:space="preserve"> if I have a question about my reimbursement rate</w:t>
      </w:r>
      <w:r w:rsidRPr="00F2180D">
        <w:rPr>
          <w:rFonts w:ascii="Centrale Sans Regular" w:hAnsi="Centrale Sans Regular"/>
          <w:b/>
          <w:color w:val="1F354D"/>
        </w:rPr>
        <w:t>?</w:t>
      </w:r>
    </w:p>
    <w:p w14:paraId="11548393" w14:textId="61C56AB1" w:rsidR="00B02960" w:rsidRPr="00F2180D" w:rsidRDefault="00B02960" w:rsidP="005A44B9">
      <w:pPr>
        <w:pStyle w:val="BodyText"/>
        <w:spacing w:line="360" w:lineRule="auto"/>
        <w:ind w:left="0" w:right="176" w:firstLine="0"/>
        <w:rPr>
          <w:rFonts w:ascii="CeraGR-Regular" w:eastAsiaTheme="minorHAnsi" w:hAnsi="CeraGR-Regular" w:cs="CeraGR-Regular"/>
          <w:color w:val="474746"/>
          <w:sz w:val="18"/>
          <w:szCs w:val="18"/>
        </w:rPr>
      </w:pPr>
      <w:r>
        <w:rPr>
          <w:rFonts w:ascii="CeraGR-Regular" w:eastAsiaTheme="minorHAnsi" w:hAnsi="CeraGR-Regular" w:cs="CeraGR-Regular"/>
          <w:color w:val="474746"/>
          <w:sz w:val="18"/>
          <w:szCs w:val="18"/>
        </w:rPr>
        <w:t xml:space="preserve">Reimbursement rates are based on a number of factors including provider performance with </w:t>
      </w:r>
      <w:r w:rsidR="00FD6744">
        <w:rPr>
          <w:rFonts w:ascii="CeraGR-Regular" w:eastAsiaTheme="minorHAnsi" w:hAnsi="CeraGR-Regular" w:cs="CeraGR-Regular"/>
          <w:color w:val="474746"/>
          <w:sz w:val="18"/>
          <w:szCs w:val="18"/>
        </w:rPr>
        <w:t>MYgroup</w:t>
      </w:r>
      <w:r>
        <w:rPr>
          <w:rFonts w:ascii="CeraGR-Regular" w:eastAsiaTheme="minorHAnsi" w:hAnsi="CeraGR-Regular" w:cs="CeraGR-Regular"/>
          <w:color w:val="474746"/>
          <w:sz w:val="18"/>
          <w:szCs w:val="18"/>
        </w:rPr>
        <w:t xml:space="preserve">, number of providers in the geographical area, and number of requests for services in that area, among </w:t>
      </w:r>
      <w:r w:rsidR="00D9667C">
        <w:rPr>
          <w:rFonts w:ascii="CeraGR-Regular" w:eastAsiaTheme="minorHAnsi" w:hAnsi="CeraGR-Regular" w:cs="CeraGR-Regular"/>
          <w:color w:val="474746"/>
          <w:sz w:val="18"/>
          <w:szCs w:val="18"/>
        </w:rPr>
        <w:t>considerations</w:t>
      </w:r>
      <w:r>
        <w:rPr>
          <w:rFonts w:ascii="CeraGR-Regular" w:eastAsiaTheme="minorHAnsi" w:hAnsi="CeraGR-Regular" w:cs="CeraGR-Regular"/>
          <w:color w:val="474746"/>
          <w:sz w:val="18"/>
          <w:szCs w:val="18"/>
        </w:rPr>
        <w:t>. Providers who want to change their rate should submit a request in writing to Provider Management. After staffing the request, Provider Management will let the provider know the final decision.</w:t>
      </w:r>
    </w:p>
    <w:p w14:paraId="07F99A7F" w14:textId="77777777" w:rsidR="00BB5B00" w:rsidRPr="00F2180D" w:rsidRDefault="00BB5B00" w:rsidP="005A44B9">
      <w:pPr>
        <w:pStyle w:val="BodyText"/>
        <w:spacing w:line="360" w:lineRule="auto"/>
        <w:ind w:left="0" w:right="176" w:firstLine="0"/>
        <w:rPr>
          <w:rFonts w:ascii="CeraGR-Regular" w:eastAsiaTheme="minorHAnsi" w:hAnsi="CeraGR-Regular" w:cs="CeraGR-Regular"/>
          <w:color w:val="6D6E71"/>
          <w:sz w:val="18"/>
          <w:szCs w:val="18"/>
        </w:rPr>
      </w:pPr>
    </w:p>
    <w:p w14:paraId="0DA8AB25" w14:textId="77777777" w:rsidR="0000714B" w:rsidRPr="00F2180D" w:rsidRDefault="001C4945" w:rsidP="00A61547">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What forms do I need to return for reimbursement?</w:t>
      </w:r>
    </w:p>
    <w:p w14:paraId="69ABF0F9" w14:textId="7B39C446" w:rsidR="0000714B" w:rsidRPr="00F2180D" w:rsidRDefault="001C4945" w:rsidP="005A44B9">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Three forms are required for reimbursement:  the completed Authorization of Service (client-specific)</w:t>
      </w:r>
      <w:r w:rsidR="004033EF">
        <w:rPr>
          <w:rFonts w:ascii="CeraGR-Regular" w:eastAsiaTheme="minorHAnsi" w:hAnsi="CeraGR-Regular" w:cs="CeraGR-Regular"/>
          <w:color w:val="474746"/>
          <w:sz w:val="18"/>
          <w:szCs w:val="18"/>
        </w:rPr>
        <w:t xml:space="preserve"> and the EAP Explanation of Benefits</w:t>
      </w:r>
      <w:r w:rsidRPr="00F2180D">
        <w:rPr>
          <w:rFonts w:ascii="CeraGR-Regular" w:eastAsiaTheme="minorHAnsi" w:hAnsi="CeraGR-Regular" w:cs="CeraGR-Regular"/>
          <w:color w:val="474746"/>
          <w:sz w:val="18"/>
          <w:szCs w:val="18"/>
        </w:rPr>
        <w:t>.</w:t>
      </w:r>
      <w:r w:rsidR="00D9667C">
        <w:rPr>
          <w:rFonts w:ascii="CeraGR-Regular" w:eastAsiaTheme="minorHAnsi" w:hAnsi="CeraGR-Regular" w:cs="CeraGR-Regular"/>
          <w:color w:val="474746"/>
          <w:sz w:val="18"/>
          <w:szCs w:val="18"/>
        </w:rPr>
        <w:t xml:space="preserve"> </w:t>
      </w:r>
      <w:r w:rsidRPr="00F2180D">
        <w:rPr>
          <w:rFonts w:ascii="CeraGR-Regular" w:eastAsiaTheme="minorHAnsi" w:hAnsi="CeraGR-Regular" w:cs="CeraGR-Regular"/>
          <w:color w:val="474746"/>
          <w:sz w:val="18"/>
          <w:szCs w:val="18"/>
        </w:rPr>
        <w:t xml:space="preserve">If you did not receive these forms, please call the client’s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to request a copy. You can also obtain the </w:t>
      </w:r>
      <w:r w:rsidR="004033EF">
        <w:rPr>
          <w:rFonts w:ascii="CeraGR-Regular" w:eastAsiaTheme="minorHAnsi" w:hAnsi="CeraGR-Regular" w:cs="CeraGR-Regular"/>
          <w:color w:val="474746"/>
          <w:sz w:val="18"/>
          <w:szCs w:val="18"/>
        </w:rPr>
        <w:t>EAP Explanation of Benefits</w:t>
      </w:r>
      <w:r w:rsidRPr="00F2180D">
        <w:rPr>
          <w:rFonts w:ascii="CeraGR-Regular" w:eastAsiaTheme="minorHAnsi" w:hAnsi="CeraGR-Regular" w:cs="CeraGR-Regular"/>
          <w:color w:val="474746"/>
          <w:sz w:val="18"/>
          <w:szCs w:val="18"/>
        </w:rPr>
        <w:t xml:space="preserve"> and Notice of Privacy Practices on the </w:t>
      </w:r>
      <w:r w:rsidR="00FD6744">
        <w:rPr>
          <w:rFonts w:ascii="CeraGR-Regular" w:eastAsiaTheme="minorHAnsi" w:hAnsi="CeraGR-Regular" w:cs="CeraGR-Regular"/>
          <w:color w:val="474746"/>
          <w:sz w:val="18"/>
          <w:szCs w:val="18"/>
        </w:rPr>
        <w:lastRenderedPageBreak/>
        <w:t>MYgroup</w:t>
      </w:r>
      <w:r w:rsidRPr="00F2180D">
        <w:rPr>
          <w:rFonts w:ascii="CeraGR-Regular" w:eastAsiaTheme="minorHAnsi" w:hAnsi="CeraGR-Regular" w:cs="CeraGR-Regular"/>
          <w:color w:val="474746"/>
          <w:sz w:val="18"/>
          <w:szCs w:val="18"/>
        </w:rPr>
        <w:t xml:space="preserve"> website.</w:t>
      </w:r>
    </w:p>
    <w:p w14:paraId="044873C7" w14:textId="77777777" w:rsidR="009E079B" w:rsidRPr="00F2180D" w:rsidRDefault="009E079B" w:rsidP="005A44B9">
      <w:pPr>
        <w:pStyle w:val="BodyText"/>
        <w:spacing w:line="360" w:lineRule="auto"/>
        <w:ind w:left="0" w:right="176" w:firstLine="0"/>
        <w:rPr>
          <w:rFonts w:ascii="CeraGR-Regular" w:eastAsiaTheme="minorHAnsi" w:hAnsi="CeraGR-Regular" w:cs="CeraGR-Regular"/>
          <w:color w:val="6D6E71"/>
          <w:sz w:val="18"/>
          <w:szCs w:val="18"/>
        </w:rPr>
      </w:pPr>
    </w:p>
    <w:p w14:paraId="6A8E3B4F" w14:textId="77777777" w:rsidR="0000714B" w:rsidRPr="00F2180D" w:rsidRDefault="001C4945" w:rsidP="00A61547">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How do I request additional sessions for my client?</w:t>
      </w:r>
    </w:p>
    <w:p w14:paraId="6D86315E" w14:textId="48F0E025" w:rsidR="0000714B" w:rsidRPr="00F2180D" w:rsidRDefault="001C4945" w:rsidP="005A44B9">
      <w:pPr>
        <w:pStyle w:val="BodyText"/>
        <w:spacing w:line="360" w:lineRule="auto"/>
        <w:ind w:left="0" w:right="176" w:firstLine="0"/>
        <w:rPr>
          <w:rFonts w:ascii="CeraGR-Regular" w:eastAsiaTheme="minorHAnsi" w:hAnsi="CeraGR-Regular" w:cs="CeraGR-Regular"/>
          <w:color w:val="474746"/>
          <w:sz w:val="18"/>
          <w:szCs w:val="18"/>
        </w:rPr>
      </w:pPr>
      <w:r w:rsidRPr="00F2180D">
        <w:rPr>
          <w:rFonts w:ascii="CeraGR-Regular" w:eastAsiaTheme="minorHAnsi" w:hAnsi="CeraGR-Regular" w:cs="CeraGR-Regular"/>
          <w:color w:val="474746"/>
          <w:sz w:val="18"/>
          <w:szCs w:val="18"/>
        </w:rPr>
        <w:t xml:space="preserve">To request additional sessions, please contact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case manager noted on the Authorization of Service Form. You can also submit a </w:t>
      </w:r>
      <w:r w:rsidR="008B775A">
        <w:rPr>
          <w:rFonts w:ascii="CeraGR-Regular" w:eastAsiaTheme="minorHAnsi" w:hAnsi="CeraGR-Regular" w:cs="CeraGR-Regular"/>
          <w:color w:val="474746"/>
          <w:sz w:val="18"/>
          <w:szCs w:val="18"/>
        </w:rPr>
        <w:t xml:space="preserve">Request for Additional Sessions </w:t>
      </w:r>
      <w:r w:rsidRPr="00F2180D">
        <w:rPr>
          <w:rFonts w:ascii="CeraGR-Regular" w:eastAsiaTheme="minorHAnsi" w:hAnsi="CeraGR-Regular" w:cs="CeraGR-Regular"/>
          <w:color w:val="474746"/>
          <w:sz w:val="18"/>
          <w:szCs w:val="18"/>
        </w:rPr>
        <w:t>form via fax</w:t>
      </w:r>
      <w:r w:rsidR="008B775A">
        <w:rPr>
          <w:rFonts w:ascii="CeraGR-Regular" w:eastAsiaTheme="minorHAnsi" w:hAnsi="CeraGR-Regular" w:cs="CeraGR-Regular"/>
          <w:color w:val="474746"/>
          <w:sz w:val="18"/>
          <w:szCs w:val="18"/>
        </w:rPr>
        <w:t>. The form</w:t>
      </w:r>
      <w:r w:rsidRPr="00F2180D">
        <w:rPr>
          <w:rFonts w:ascii="CeraGR-Regular" w:eastAsiaTheme="minorHAnsi" w:hAnsi="CeraGR-Regular" w:cs="CeraGR-Regular"/>
          <w:color w:val="474746"/>
          <w:sz w:val="18"/>
          <w:szCs w:val="18"/>
        </w:rPr>
        <w:t xml:space="preserve"> is on the </w:t>
      </w:r>
      <w:r w:rsidR="00FD6744">
        <w:rPr>
          <w:rFonts w:ascii="CeraGR-Regular" w:eastAsiaTheme="minorHAnsi" w:hAnsi="CeraGR-Regular" w:cs="CeraGR-Regular"/>
          <w:color w:val="474746"/>
          <w:sz w:val="18"/>
          <w:szCs w:val="18"/>
        </w:rPr>
        <w:t>MYgroup</w:t>
      </w:r>
      <w:r w:rsidRPr="00F2180D">
        <w:rPr>
          <w:rFonts w:ascii="CeraGR-Regular" w:eastAsiaTheme="minorHAnsi" w:hAnsi="CeraGR-Regular" w:cs="CeraGR-Regular"/>
          <w:color w:val="474746"/>
          <w:sz w:val="18"/>
          <w:szCs w:val="18"/>
        </w:rPr>
        <w:t xml:space="preserve"> website.</w:t>
      </w:r>
    </w:p>
    <w:p w14:paraId="5020E406" w14:textId="77777777" w:rsidR="009216D5" w:rsidRPr="00F2180D" w:rsidRDefault="009216D5" w:rsidP="005A44B9">
      <w:pPr>
        <w:pStyle w:val="BodyText"/>
        <w:spacing w:line="360" w:lineRule="auto"/>
        <w:ind w:left="0" w:right="176" w:firstLine="0"/>
        <w:rPr>
          <w:rFonts w:ascii="CeraGR-Regular" w:eastAsiaTheme="minorHAnsi" w:hAnsi="CeraGR-Regular" w:cs="CeraGR-Regular"/>
          <w:color w:val="474746"/>
          <w:sz w:val="18"/>
          <w:szCs w:val="18"/>
        </w:rPr>
      </w:pPr>
    </w:p>
    <w:p w14:paraId="18D8A435" w14:textId="77777777" w:rsidR="0000714B" w:rsidRPr="00F2180D" w:rsidRDefault="001C4945" w:rsidP="00A61547">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Can I self-refer?</w:t>
      </w:r>
    </w:p>
    <w:p w14:paraId="4A20398E" w14:textId="4DD44D1D" w:rsidR="00163FF9" w:rsidRPr="00163FF9" w:rsidRDefault="001C4945" w:rsidP="005A44B9">
      <w:pPr>
        <w:pStyle w:val="BodyText"/>
        <w:tabs>
          <w:tab w:val="left" w:pos="7652"/>
        </w:tabs>
        <w:spacing w:line="360" w:lineRule="auto"/>
        <w:ind w:left="0" w:right="117" w:firstLine="0"/>
        <w:rPr>
          <w:rFonts w:ascii="CeraGR-Regular" w:eastAsiaTheme="minorHAnsi" w:hAnsi="CeraGR-Regular" w:cs="CeraGR-Regular"/>
          <w:color w:val="404040" w:themeColor="text1" w:themeTint="BF"/>
          <w:sz w:val="18"/>
          <w:szCs w:val="18"/>
        </w:rPr>
      </w:pPr>
      <w:r w:rsidRPr="00F2180D">
        <w:rPr>
          <w:rFonts w:ascii="CeraGR-Regular" w:eastAsiaTheme="minorHAnsi" w:hAnsi="CeraGR-Regular" w:cs="CeraGR-Regular"/>
          <w:color w:val="474746"/>
          <w:sz w:val="18"/>
          <w:szCs w:val="18"/>
        </w:rPr>
        <w:t xml:space="preserve">Yes, you can self-refer so long as you do so after initial assessment, </w:t>
      </w:r>
      <w:r w:rsidRPr="00B02960">
        <w:rPr>
          <w:rFonts w:ascii="CeraGR-Regular" w:eastAsiaTheme="minorHAnsi" w:hAnsi="CeraGR-Regular" w:cs="CeraGR-Regular"/>
          <w:color w:val="474746"/>
          <w:sz w:val="18"/>
          <w:szCs w:val="18"/>
          <w:u w:val="single"/>
        </w:rPr>
        <w:t>not at the end of brief treatment for a short-term concern</w:t>
      </w:r>
      <w:r w:rsidRPr="00F2180D">
        <w:rPr>
          <w:rFonts w:ascii="CeraGR-Regular" w:eastAsiaTheme="minorHAnsi" w:hAnsi="CeraGR-Regular" w:cs="CeraGR-Regular"/>
          <w:color w:val="474746"/>
          <w:sz w:val="18"/>
          <w:szCs w:val="18"/>
        </w:rPr>
        <w:t xml:space="preserve">. When you self-refer, be sure to provide at least two additional resources or clinicians in the same price range </w:t>
      </w:r>
      <w:r w:rsidR="003D6B96" w:rsidRPr="00F2180D">
        <w:rPr>
          <w:rFonts w:ascii="CeraGR-Regular" w:eastAsiaTheme="minorHAnsi" w:hAnsi="CeraGR-Regular" w:cs="CeraGR-Regular"/>
          <w:color w:val="474746"/>
          <w:sz w:val="18"/>
          <w:szCs w:val="18"/>
        </w:rPr>
        <w:t>to</w:t>
      </w:r>
      <w:r w:rsidRPr="00F2180D">
        <w:rPr>
          <w:rFonts w:ascii="CeraGR-Regular" w:eastAsiaTheme="minorHAnsi" w:hAnsi="CeraGR-Regular" w:cs="CeraGR-Regular"/>
          <w:color w:val="474746"/>
          <w:sz w:val="18"/>
          <w:szCs w:val="18"/>
        </w:rPr>
        <w:t xml:space="preserve"> give </w:t>
      </w:r>
      <w:r w:rsidR="008B775A">
        <w:rPr>
          <w:rFonts w:ascii="CeraGR-Regular" w:eastAsiaTheme="minorHAnsi" w:hAnsi="CeraGR-Regular" w:cs="CeraGR-Regular"/>
          <w:color w:val="474746"/>
          <w:sz w:val="18"/>
          <w:szCs w:val="18"/>
        </w:rPr>
        <w:t>the client</w:t>
      </w:r>
      <w:r w:rsidRPr="00F2180D">
        <w:rPr>
          <w:rFonts w:ascii="CeraGR-Regular" w:eastAsiaTheme="minorHAnsi" w:hAnsi="CeraGR-Regular" w:cs="CeraGR-Regular"/>
          <w:color w:val="474746"/>
          <w:sz w:val="18"/>
          <w:szCs w:val="18"/>
        </w:rPr>
        <w:t xml:space="preserve"> an alternative option for treatment</w:t>
      </w:r>
      <w:r w:rsidR="00163FF9">
        <w:rPr>
          <w:rFonts w:ascii="CeraGR-Regular" w:eastAsiaTheme="minorHAnsi" w:hAnsi="CeraGR-Regular" w:cs="CeraGR-Regular"/>
          <w:color w:val="6D6E71"/>
          <w:sz w:val="18"/>
          <w:szCs w:val="18"/>
        </w:rPr>
        <w:t xml:space="preserve">. </w:t>
      </w:r>
      <w:r w:rsidR="00163FF9" w:rsidRPr="00163FF9">
        <w:rPr>
          <w:rFonts w:ascii="CeraGR-Regular" w:eastAsiaTheme="minorHAnsi" w:hAnsi="CeraGR-Regular" w:cs="CeraGR-Regular"/>
          <w:color w:val="404040" w:themeColor="text1" w:themeTint="BF"/>
          <w:sz w:val="18"/>
          <w:szCs w:val="18"/>
        </w:rPr>
        <w:t xml:space="preserve">See Clinically-Appropriate Referrals section of the </w:t>
      </w:r>
      <w:r w:rsidR="00A61547">
        <w:rPr>
          <w:rFonts w:ascii="CeraGR-Regular" w:eastAsiaTheme="minorHAnsi" w:hAnsi="CeraGR-Regular" w:cs="CeraGR-Regular"/>
          <w:color w:val="404040" w:themeColor="text1" w:themeTint="BF"/>
          <w:sz w:val="18"/>
          <w:szCs w:val="18"/>
        </w:rPr>
        <w:t xml:space="preserve">Provider </w:t>
      </w:r>
      <w:r w:rsidR="00163FF9" w:rsidRPr="00163FF9">
        <w:rPr>
          <w:rFonts w:ascii="CeraGR-Regular" w:eastAsiaTheme="minorHAnsi" w:hAnsi="CeraGR-Regular" w:cs="CeraGR-Regular"/>
          <w:color w:val="404040" w:themeColor="text1" w:themeTint="BF"/>
          <w:sz w:val="18"/>
          <w:szCs w:val="18"/>
        </w:rPr>
        <w:t xml:space="preserve">Handbook. </w:t>
      </w:r>
    </w:p>
    <w:p w14:paraId="514CCE2F" w14:textId="16F7E6DF" w:rsidR="002C7476" w:rsidRPr="00614D5F" w:rsidRDefault="002C7476" w:rsidP="005A44B9">
      <w:pPr>
        <w:pStyle w:val="BodyText"/>
        <w:tabs>
          <w:tab w:val="left" w:pos="7652"/>
        </w:tabs>
        <w:spacing w:line="360" w:lineRule="auto"/>
        <w:ind w:left="0" w:right="117" w:firstLine="0"/>
        <w:rPr>
          <w:rFonts w:ascii="CeraGR-Regular" w:eastAsiaTheme="minorHAnsi" w:hAnsi="CeraGR-Regular" w:cs="CeraGR-Regular"/>
          <w:color w:val="2E8989"/>
          <w:sz w:val="18"/>
          <w:szCs w:val="18"/>
        </w:rPr>
      </w:pPr>
    </w:p>
    <w:p w14:paraId="0A8EB380" w14:textId="77777777" w:rsidR="0000714B" w:rsidRPr="00F2180D" w:rsidRDefault="001C4945" w:rsidP="005A44B9">
      <w:pPr>
        <w:pStyle w:val="MYGBody2"/>
        <w:spacing w:after="0" w:line="360" w:lineRule="auto"/>
        <w:rPr>
          <w:rFonts w:ascii="Centrale Sans Regular" w:hAnsi="Centrale Sans Regular"/>
          <w:b/>
          <w:color w:val="1F354D"/>
        </w:rPr>
      </w:pPr>
      <w:r w:rsidRPr="00F2180D">
        <w:rPr>
          <w:rFonts w:ascii="Centrale Sans Regular" w:hAnsi="Centrale Sans Regular"/>
          <w:b/>
          <w:color w:val="1F354D"/>
        </w:rPr>
        <w:t>What is the log-in for the website?</w:t>
      </w:r>
    </w:p>
    <w:p w14:paraId="1F88E17C" w14:textId="773BB5A9" w:rsidR="003D6B96" w:rsidRPr="004D558C" w:rsidRDefault="006633BC" w:rsidP="005A44B9">
      <w:pPr>
        <w:pStyle w:val="BodyText"/>
        <w:tabs>
          <w:tab w:val="left" w:pos="1465"/>
        </w:tabs>
        <w:spacing w:before="74"/>
        <w:ind w:left="0" w:right="201" w:firstLine="0"/>
        <w:rPr>
          <w:rFonts w:ascii="CeraGR-Regular" w:eastAsiaTheme="minorHAnsi" w:hAnsi="CeraGR-Regular" w:cs="CeraGR-Regular"/>
          <w:color w:val="474746"/>
          <w:sz w:val="18"/>
          <w:szCs w:val="18"/>
        </w:rPr>
      </w:pPr>
      <w:hyperlink r:id="rId29" w:history="1">
        <w:r w:rsidR="003D6B96" w:rsidRPr="008A0E0E">
          <w:rPr>
            <w:rStyle w:val="Hyperlink"/>
            <w:rFonts w:ascii="CeraGR-Regular" w:eastAsiaTheme="minorHAnsi" w:hAnsi="CeraGR-Regular" w:cs="CeraGR-Regular"/>
            <w:i/>
            <w:color w:val="2E8989"/>
            <w:sz w:val="18"/>
            <w:szCs w:val="18"/>
          </w:rPr>
          <w:t>www.mygroup.com</w:t>
        </w:r>
      </w:hyperlink>
      <w:r w:rsidR="003D6B96" w:rsidRPr="004D558C">
        <w:rPr>
          <w:rFonts w:ascii="CeraGR-Regular" w:eastAsiaTheme="minorHAnsi" w:hAnsi="CeraGR-Regular" w:cs="CeraGR-Regular"/>
          <w:i/>
          <w:color w:val="474746"/>
          <w:sz w:val="18"/>
          <w:szCs w:val="18"/>
        </w:rPr>
        <w:t xml:space="preserve"> </w:t>
      </w:r>
      <w:r w:rsidR="003D6B96" w:rsidRPr="004D558C">
        <w:rPr>
          <w:rFonts w:ascii="CeraGR-Regular" w:eastAsiaTheme="minorHAnsi" w:hAnsi="CeraGR-Regular" w:cs="CeraGR-Regular"/>
          <w:i/>
          <w:color w:val="474746"/>
          <w:sz w:val="18"/>
          <w:szCs w:val="18"/>
        </w:rPr>
        <w:sym w:font="Wingdings" w:char="F0E0"/>
      </w:r>
      <w:r w:rsidR="003D6B96" w:rsidRPr="004D558C">
        <w:rPr>
          <w:rFonts w:ascii="CeraGR-Regular" w:eastAsiaTheme="minorHAnsi" w:hAnsi="CeraGR-Regular" w:cs="CeraGR-Regular"/>
          <w:i/>
          <w:color w:val="474746"/>
          <w:sz w:val="18"/>
          <w:szCs w:val="18"/>
        </w:rPr>
        <w:t xml:space="preserve"> My Portal Login </w:t>
      </w:r>
      <w:r w:rsidR="003D6B96" w:rsidRPr="004D558C">
        <w:rPr>
          <w:rFonts w:ascii="CeraGR-Regular" w:eastAsiaTheme="minorHAnsi" w:hAnsi="CeraGR-Regular" w:cs="CeraGR-Regular"/>
          <w:i/>
          <w:color w:val="474746"/>
          <w:sz w:val="18"/>
          <w:szCs w:val="18"/>
        </w:rPr>
        <w:sym w:font="Wingdings" w:char="F0E0"/>
      </w:r>
      <w:r w:rsidR="003D6B96" w:rsidRPr="004D558C">
        <w:rPr>
          <w:rFonts w:ascii="CeraGR-Regular" w:eastAsiaTheme="minorHAnsi" w:hAnsi="CeraGR-Regular" w:cs="CeraGR-Regular"/>
          <w:i/>
          <w:color w:val="474746"/>
          <w:sz w:val="18"/>
          <w:szCs w:val="18"/>
        </w:rPr>
        <w:t xml:space="preserve"> Provider </w:t>
      </w:r>
      <w:r w:rsidR="003D6B96" w:rsidRPr="004D558C">
        <w:rPr>
          <w:rFonts w:ascii="CeraGR-Regular" w:eastAsiaTheme="minorHAnsi" w:hAnsi="CeraGR-Regular" w:cs="CeraGR-Regular"/>
          <w:i/>
          <w:color w:val="474746"/>
          <w:sz w:val="18"/>
          <w:szCs w:val="18"/>
        </w:rPr>
        <w:sym w:font="Wingdings" w:char="F0E0"/>
      </w:r>
      <w:r w:rsidR="003D6B96" w:rsidRPr="004D558C">
        <w:rPr>
          <w:rFonts w:ascii="CeraGR-Regular" w:eastAsiaTheme="minorHAnsi" w:hAnsi="CeraGR-Regular" w:cs="CeraGR-Regular"/>
          <w:i/>
          <w:color w:val="474746"/>
          <w:sz w:val="18"/>
          <w:szCs w:val="18"/>
        </w:rPr>
        <w:t xml:space="preserve"> Username: </w:t>
      </w:r>
      <w:r w:rsidR="00D55831">
        <w:rPr>
          <w:rFonts w:ascii="CeraGR-Regular" w:eastAsiaTheme="minorHAnsi" w:hAnsi="CeraGR-Regular" w:cs="CeraGR-Regular"/>
          <w:b/>
          <w:i/>
          <w:color w:val="474746"/>
          <w:sz w:val="18"/>
          <w:szCs w:val="18"/>
        </w:rPr>
        <w:t>P</w:t>
      </w:r>
      <w:r w:rsidR="003D6B96" w:rsidRPr="004D558C">
        <w:rPr>
          <w:rFonts w:ascii="CeraGR-Regular" w:eastAsiaTheme="minorHAnsi" w:hAnsi="CeraGR-Regular" w:cs="CeraGR-Regular"/>
          <w:b/>
          <w:i/>
          <w:color w:val="474746"/>
          <w:sz w:val="18"/>
          <w:szCs w:val="18"/>
        </w:rPr>
        <w:t>rovider</w:t>
      </w:r>
      <w:r w:rsidR="003D6B96" w:rsidRPr="004D558C">
        <w:rPr>
          <w:rFonts w:ascii="CeraGR-Regular" w:eastAsiaTheme="minorHAnsi" w:hAnsi="CeraGR-Regular" w:cs="CeraGR-Regular"/>
          <w:i/>
          <w:color w:val="474746"/>
          <w:sz w:val="18"/>
          <w:szCs w:val="18"/>
        </w:rPr>
        <w:t xml:space="preserve"> Password: </w:t>
      </w:r>
      <w:proofErr w:type="spellStart"/>
      <w:r w:rsidR="008B775A">
        <w:rPr>
          <w:rFonts w:ascii="CeraGR-Regular" w:eastAsiaTheme="minorHAnsi" w:hAnsi="CeraGR-Regular" w:cs="CeraGR-Regular"/>
          <w:b/>
          <w:i/>
          <w:color w:val="474746"/>
          <w:sz w:val="18"/>
          <w:szCs w:val="18"/>
        </w:rPr>
        <w:t>MYgroup_Provider</w:t>
      </w:r>
      <w:proofErr w:type="spellEnd"/>
    </w:p>
    <w:p w14:paraId="613F1D6C" w14:textId="4FBA8762" w:rsidR="006E409A" w:rsidRDefault="006E409A">
      <w:pPr>
        <w:rPr>
          <w:rFonts w:ascii="CeraGR-Regular" w:hAnsi="CeraGR-Regular" w:cs="CeraGR-Regular"/>
          <w:color w:val="6D6E71"/>
          <w:sz w:val="20"/>
          <w:szCs w:val="20"/>
        </w:rPr>
      </w:pPr>
      <w:r>
        <w:rPr>
          <w:rFonts w:ascii="CeraGR-Regular" w:hAnsi="CeraGR-Regular" w:cs="CeraGR-Regular"/>
          <w:color w:val="6D6E71"/>
          <w:sz w:val="20"/>
          <w:szCs w:val="20"/>
        </w:rPr>
        <w:br w:type="page"/>
      </w:r>
    </w:p>
    <w:p w14:paraId="085875DF" w14:textId="0CB9A2D0" w:rsidR="0000714B" w:rsidRPr="009216D5" w:rsidRDefault="00333D03" w:rsidP="005A44B9">
      <w:pPr>
        <w:pStyle w:val="Heading2"/>
        <w:spacing w:before="74"/>
        <w:ind w:left="0" w:firstLine="0"/>
        <w:rPr>
          <w:rFonts w:ascii="CeraGR-Regular" w:eastAsiaTheme="minorHAnsi" w:hAnsi="CeraGR-Regular" w:cs="CeraGR-Regular"/>
          <w:bCs w:val="0"/>
          <w:color w:val="1F354D"/>
          <w:sz w:val="24"/>
          <w:szCs w:val="24"/>
        </w:rPr>
      </w:pPr>
      <w:bookmarkStart w:id="9" w:name="_bookmark9"/>
      <w:bookmarkStart w:id="10" w:name="_Hlk37240048"/>
      <w:bookmarkEnd w:id="9"/>
      <w:r>
        <w:rPr>
          <w:rFonts w:ascii="CeraGR-Regular" w:eastAsiaTheme="minorHAnsi" w:hAnsi="CeraGR-Regular" w:cs="CeraGR-Regular"/>
          <w:bCs w:val="0"/>
          <w:color w:val="1F354D"/>
          <w:sz w:val="24"/>
          <w:szCs w:val="24"/>
        </w:rPr>
        <w:lastRenderedPageBreak/>
        <w:t>SAM</w:t>
      </w:r>
      <w:r w:rsidR="001C4945" w:rsidRPr="009216D5">
        <w:rPr>
          <w:rFonts w:ascii="CeraGR-Regular" w:eastAsiaTheme="minorHAnsi" w:hAnsi="CeraGR-Regular" w:cs="CeraGR-Regular"/>
          <w:bCs w:val="0"/>
          <w:color w:val="1F354D"/>
          <w:sz w:val="24"/>
          <w:szCs w:val="24"/>
        </w:rPr>
        <w:t xml:space="preserve">PLE </w:t>
      </w:r>
      <w:r w:rsidR="00D60475">
        <w:rPr>
          <w:rFonts w:ascii="CeraGR-Regular" w:eastAsiaTheme="minorHAnsi" w:hAnsi="CeraGR-Regular" w:cs="CeraGR-Regular"/>
          <w:bCs w:val="0"/>
          <w:color w:val="1F354D"/>
          <w:sz w:val="24"/>
          <w:szCs w:val="24"/>
        </w:rPr>
        <w:t xml:space="preserve">INITIAL </w:t>
      </w:r>
      <w:r w:rsidR="001C4945" w:rsidRPr="009216D5">
        <w:rPr>
          <w:rFonts w:ascii="CeraGR-Regular" w:eastAsiaTheme="minorHAnsi" w:hAnsi="CeraGR-Regular" w:cs="CeraGR-Regular"/>
          <w:bCs w:val="0"/>
          <w:color w:val="1F354D"/>
          <w:sz w:val="24"/>
          <w:szCs w:val="24"/>
        </w:rPr>
        <w:t xml:space="preserve">AUTHORIZATION </w:t>
      </w:r>
      <w:bookmarkEnd w:id="10"/>
      <w:r w:rsidR="001C4945" w:rsidRPr="009216D5">
        <w:rPr>
          <w:rFonts w:ascii="CeraGR-Regular" w:eastAsiaTheme="minorHAnsi" w:hAnsi="CeraGR-Regular" w:cs="CeraGR-Regular"/>
          <w:bCs w:val="0"/>
          <w:color w:val="1F354D"/>
          <w:sz w:val="24"/>
          <w:szCs w:val="24"/>
        </w:rPr>
        <w:t>OF SERVICE</w:t>
      </w:r>
    </w:p>
    <w:p w14:paraId="44AEA735" w14:textId="77777777" w:rsidR="009E079B" w:rsidRPr="00084013" w:rsidRDefault="009E079B" w:rsidP="0051220A">
      <w:pPr>
        <w:pStyle w:val="Heading2"/>
        <w:tabs>
          <w:tab w:val="left" w:pos="1561"/>
        </w:tabs>
        <w:spacing w:before="74"/>
        <w:ind w:left="1080" w:firstLine="0"/>
        <w:jc w:val="right"/>
        <w:rPr>
          <w:rFonts w:ascii="CeraGR-Regular" w:eastAsiaTheme="minorHAnsi" w:hAnsi="CeraGR-Regular" w:cs="CeraGR-Regular"/>
          <w:bCs w:val="0"/>
          <w:color w:val="01426A"/>
          <w:sz w:val="26"/>
          <w:szCs w:val="26"/>
        </w:rPr>
      </w:pPr>
    </w:p>
    <w:p w14:paraId="7B5162C2" w14:textId="66967DC5" w:rsidR="0000714B" w:rsidRDefault="004B7EC8" w:rsidP="005A44B9">
      <w:pPr>
        <w:spacing w:before="1"/>
        <w:rPr>
          <w:rFonts w:ascii="Garamond" w:eastAsia="Garamond" w:hAnsi="Garamond" w:cs="Garamond"/>
          <w:b/>
          <w:bCs/>
          <w:sz w:val="26"/>
          <w:szCs w:val="26"/>
        </w:rPr>
      </w:pPr>
      <w:r>
        <w:rPr>
          <w:rFonts w:ascii="Garamond" w:eastAsia="Garamond" w:hAnsi="Garamond" w:cs="Garamond"/>
          <w:b/>
          <w:bCs/>
          <w:noProof/>
          <w:sz w:val="26"/>
          <w:szCs w:val="26"/>
        </w:rPr>
        <w:drawing>
          <wp:inline distT="0" distB="0" distL="0" distR="0" wp14:anchorId="3663D0CC" wp14:editId="2B79497E">
            <wp:extent cx="5667375" cy="6664731"/>
            <wp:effectExtent l="0" t="0" r="0" b="3175"/>
            <wp:docPr id="2" name="Picture 2" descr="sample authorization completed.pdf (SECURED)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08AF1.tmp"/>
                    <pic:cNvPicPr/>
                  </pic:nvPicPr>
                  <pic:blipFill rotWithShape="1">
                    <a:blip r:embed="rId30">
                      <a:extLst>
                        <a:ext uri="{28A0092B-C50C-407E-A947-70E740481C1C}">
                          <a14:useLocalDpi xmlns:a14="http://schemas.microsoft.com/office/drawing/2010/main" val="0"/>
                        </a:ext>
                      </a:extLst>
                    </a:blip>
                    <a:srcRect l="29372" t="17678" r="28280"/>
                    <a:stretch/>
                  </pic:blipFill>
                  <pic:spPr bwMode="auto">
                    <a:xfrm>
                      <a:off x="0" y="0"/>
                      <a:ext cx="5697026" cy="6699600"/>
                    </a:xfrm>
                    <a:prstGeom prst="rect">
                      <a:avLst/>
                    </a:prstGeom>
                    <a:ln>
                      <a:noFill/>
                    </a:ln>
                    <a:extLst>
                      <a:ext uri="{53640926-AAD7-44D8-BBD7-CCE9431645EC}">
                        <a14:shadowObscured xmlns:a14="http://schemas.microsoft.com/office/drawing/2010/main"/>
                      </a:ext>
                    </a:extLst>
                  </pic:spPr>
                </pic:pic>
              </a:graphicData>
            </a:graphic>
          </wp:inline>
        </w:drawing>
      </w:r>
    </w:p>
    <w:p w14:paraId="15BFBCC3" w14:textId="150348A9" w:rsidR="006E409A" w:rsidRDefault="006E409A">
      <w:pPr>
        <w:rPr>
          <w:rFonts w:ascii="CeraGR-Regular" w:eastAsia="Garamond" w:hAnsi="CeraGR-Regular" w:cs="CeraGR-Regular"/>
          <w:b/>
          <w:bCs/>
          <w:color w:val="1F354D"/>
          <w:sz w:val="24"/>
          <w:szCs w:val="24"/>
        </w:rPr>
      </w:pPr>
      <w:bookmarkStart w:id="11" w:name="_bookmark10"/>
      <w:bookmarkEnd w:id="11"/>
      <w:r>
        <w:rPr>
          <w:rFonts w:ascii="CeraGR-Regular" w:hAnsi="CeraGR-Regular" w:cs="CeraGR-Regular"/>
          <w:color w:val="1F354D"/>
          <w:sz w:val="24"/>
          <w:szCs w:val="24"/>
        </w:rPr>
        <w:br w:type="page"/>
      </w:r>
    </w:p>
    <w:p w14:paraId="3DEB45ED" w14:textId="5FECBF5E" w:rsidR="0000714B" w:rsidRPr="00333D03" w:rsidRDefault="00072EB4" w:rsidP="005A44B9">
      <w:pPr>
        <w:rPr>
          <w:rFonts w:ascii="CeraGR-Regular" w:hAnsi="CeraGR-Regular" w:cs="CeraGR-Regular"/>
          <w:b/>
          <w:bCs/>
          <w:color w:val="1F354D"/>
          <w:sz w:val="24"/>
          <w:szCs w:val="24"/>
        </w:rPr>
      </w:pPr>
      <w:r w:rsidRPr="00333D03">
        <w:rPr>
          <w:rFonts w:ascii="CeraGR-Regular" w:hAnsi="CeraGR-Regular" w:cs="CeraGR-Regular"/>
          <w:b/>
          <w:bCs/>
          <w:color w:val="1F354D"/>
          <w:sz w:val="24"/>
          <w:szCs w:val="24"/>
        </w:rPr>
        <w:lastRenderedPageBreak/>
        <w:t>SAMPLE REQUEST FOR ADDITIONAL SESSIONS</w:t>
      </w:r>
    </w:p>
    <w:p w14:paraId="66043905" w14:textId="77777777" w:rsidR="00D81C64" w:rsidRPr="009216D5" w:rsidRDefault="00D81C64" w:rsidP="00D81C64">
      <w:pPr>
        <w:rPr>
          <w:rFonts w:cs="Garamond"/>
          <w:color w:val="1F354D"/>
          <w:sz w:val="24"/>
          <w:szCs w:val="24"/>
        </w:rPr>
      </w:pPr>
    </w:p>
    <w:p w14:paraId="754332F5" w14:textId="23717B12" w:rsidR="00DE173F" w:rsidRPr="008A44A5" w:rsidRDefault="00D81C64" w:rsidP="00072EB4">
      <w:pPr>
        <w:pStyle w:val="BasicParagraph"/>
        <w:suppressAutoHyphens/>
        <w:spacing w:line="360" w:lineRule="auto"/>
        <w:rPr>
          <w:rFonts w:ascii="CeraGR-Regular" w:hAnsi="CeraGR-Regular" w:cs="CeraGR-Regular"/>
          <w:color w:val="474746"/>
          <w:sz w:val="18"/>
          <w:szCs w:val="18"/>
        </w:rPr>
      </w:pPr>
      <w:r>
        <w:rPr>
          <w:noProof/>
        </w:rPr>
        <w:drawing>
          <wp:inline distT="0" distB="0" distL="0" distR="0" wp14:anchorId="538B3323" wp14:editId="6D2A52F9">
            <wp:extent cx="5772150" cy="6083300"/>
            <wp:effectExtent l="0" t="0" r="0" b="0"/>
            <wp:docPr id="13" name="Picture 13" descr="sample additional sessions request completed.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70FC6.tmp"/>
                    <pic:cNvPicPr/>
                  </pic:nvPicPr>
                  <pic:blipFill rotWithShape="1">
                    <a:blip r:embed="rId31">
                      <a:extLst>
                        <a:ext uri="{28A0092B-C50C-407E-A947-70E740481C1C}">
                          <a14:useLocalDpi xmlns:a14="http://schemas.microsoft.com/office/drawing/2010/main" val="0"/>
                        </a:ext>
                      </a:extLst>
                    </a:blip>
                    <a:srcRect l="23504" t="17698" r="25133"/>
                    <a:stretch/>
                  </pic:blipFill>
                  <pic:spPr bwMode="auto">
                    <a:xfrm>
                      <a:off x="0" y="0"/>
                      <a:ext cx="5883258" cy="6200398"/>
                    </a:xfrm>
                    <a:prstGeom prst="rect">
                      <a:avLst/>
                    </a:prstGeom>
                    <a:ln>
                      <a:noFill/>
                    </a:ln>
                    <a:extLst>
                      <a:ext uri="{53640926-AAD7-44D8-BBD7-CCE9431645EC}">
                        <a14:shadowObscured xmlns:a14="http://schemas.microsoft.com/office/drawing/2010/main"/>
                      </a:ext>
                    </a:extLst>
                  </pic:spPr>
                </pic:pic>
              </a:graphicData>
            </a:graphic>
          </wp:inline>
        </w:drawing>
      </w:r>
    </w:p>
    <w:p w14:paraId="47F2CB06" w14:textId="58E20070" w:rsidR="0000714B" w:rsidRPr="00E20662" w:rsidRDefault="00DE173F" w:rsidP="00E20662">
      <w:pPr>
        <w:pStyle w:val="BasicParagraph"/>
        <w:suppressAutoHyphens/>
        <w:spacing w:line="360" w:lineRule="auto"/>
        <w:ind w:left="2880"/>
        <w:rPr>
          <w:rFonts w:ascii="CeraGR-Regular" w:hAnsi="CeraGR-Regular" w:cs="CeraGR-Regular"/>
          <w:color w:val="6D6E71"/>
          <w:sz w:val="18"/>
          <w:szCs w:val="18"/>
        </w:rPr>
        <w:sectPr w:rsidR="0000714B" w:rsidRPr="00E20662" w:rsidSect="00A83714">
          <w:headerReference w:type="default" r:id="rId32"/>
          <w:footerReference w:type="default" r:id="rId33"/>
          <w:pgSz w:w="12240" w:h="15840"/>
          <w:pgMar w:top="1440" w:right="1440" w:bottom="1440" w:left="1440" w:header="540" w:footer="360" w:gutter="0"/>
          <w:cols w:space="720"/>
          <w:docGrid w:linePitch="299"/>
        </w:sectPr>
      </w:pPr>
      <w:r w:rsidRPr="008A44A5">
        <w:rPr>
          <w:rFonts w:ascii="CeraGR-Bold" w:hAnsi="CeraGR-Bold" w:cs="CeraGR-Bold"/>
          <w:color w:val="474746"/>
          <w:sz w:val="18"/>
          <w:szCs w:val="18"/>
        </w:rPr>
        <w:t xml:space="preserve">  </w:t>
      </w:r>
    </w:p>
    <w:p w14:paraId="2DF11BC9" w14:textId="6B9F8733" w:rsidR="00D60475" w:rsidRPr="00DE4E7C" w:rsidRDefault="00D60475" w:rsidP="00D60475">
      <w:pPr>
        <w:pStyle w:val="Heading2"/>
        <w:ind w:left="720" w:right="-3064" w:firstLine="0"/>
      </w:pPr>
    </w:p>
    <w:sectPr w:rsidR="00D60475" w:rsidRPr="00DE4E7C" w:rsidSect="00D60475">
      <w:type w:val="continuous"/>
      <w:pgSz w:w="12240" w:h="15840"/>
      <w:pgMar w:top="500" w:right="1440" w:bottom="1200" w:left="600" w:header="720" w:footer="720" w:gutter="0"/>
      <w:cols w:num="2" w:space="720" w:equalWidth="0">
        <w:col w:w="7106" w:space="40"/>
        <w:col w:w="30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22208" w14:textId="77777777" w:rsidR="006E0E78" w:rsidRDefault="006E0E78">
      <w:r>
        <w:separator/>
      </w:r>
    </w:p>
  </w:endnote>
  <w:endnote w:type="continuationSeparator" w:id="0">
    <w:p w14:paraId="1D873BA4" w14:textId="77777777" w:rsidR="006E0E78" w:rsidRDefault="006E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raGR-Regular">
    <w:altName w:val="Arial"/>
    <w:panose1 w:val="00000500000000000000"/>
    <w:charset w:val="A1"/>
    <w:family w:val="modern"/>
    <w:notTrueType/>
    <w:pitch w:val="variable"/>
    <w:sig w:usb0="00000081" w:usb1="00000001" w:usb2="00000000" w:usb3="00000000" w:csb0="00000008"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Book">
    <w:altName w:val="Malgun Gothic"/>
    <w:charset w:val="00"/>
    <w:family w:val="auto"/>
    <w:pitch w:val="variable"/>
    <w:sig w:usb0="00000003" w:usb1="00000000" w:usb2="00000000" w:usb3="00000000" w:csb0="00000001" w:csb1="00000000"/>
  </w:font>
  <w:font w:name="FreightText Pro Semibold">
    <w:altName w:val="Times New Roman"/>
    <w:panose1 w:val="02000603080000020004"/>
    <w:charset w:val="00"/>
    <w:family w:val="modern"/>
    <w:notTrueType/>
    <w:pitch w:val="variable"/>
    <w:sig w:usb0="A00000AF" w:usb1="5000044B" w:usb2="00000000" w:usb3="00000000" w:csb0="00000093" w:csb1="00000000"/>
  </w:font>
  <w:font w:name="CeraGR-Medium">
    <w:altName w:val="Arial"/>
    <w:panose1 w:val="00000600000000000000"/>
    <w:charset w:val="A1"/>
    <w:family w:val="modern"/>
    <w:notTrueType/>
    <w:pitch w:val="variable"/>
    <w:sig w:usb0="00000081" w:usb1="00000001" w:usb2="00000000" w:usb3="00000000" w:csb0="00000008" w:csb1="00000000"/>
  </w:font>
  <w:font w:name="CeraGR-Bold">
    <w:altName w:val="Calibri"/>
    <w:panose1 w:val="00000800000000000000"/>
    <w:charset w:val="A1"/>
    <w:family w:val="modern"/>
    <w:notTrueType/>
    <w:pitch w:val="variable"/>
    <w:sig w:usb0="00000081" w:usb1="00000001" w:usb2="00000000" w:usb3="00000000" w:csb0="00000008" w:csb1="00000000"/>
  </w:font>
  <w:font w:name="Arial">
    <w:panose1 w:val="020B0604020202020204"/>
    <w:charset w:val="00"/>
    <w:family w:val="swiss"/>
    <w:pitch w:val="variable"/>
    <w:sig w:usb0="E0002EFF" w:usb1="C000785B" w:usb2="00000009" w:usb3="00000000" w:csb0="000001FF" w:csb1="00000000"/>
  </w:font>
  <w:font w:name="Centrale Sans Regul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23F1" w14:textId="77777777" w:rsidR="006E0E78" w:rsidRPr="00073196" w:rsidRDefault="006E0E78" w:rsidP="00F2180D">
    <w:pPr>
      <w:pStyle w:val="Footer"/>
      <w:rPr>
        <w:rFonts w:ascii="CeraGR-Medium" w:hAnsi="CeraGR-Medium" w:cs="CeraGR-Bold"/>
        <w:color w:val="1F354D"/>
        <w:sz w:val="16"/>
        <w:szCs w:val="16"/>
      </w:rPr>
    </w:pPr>
    <w:r w:rsidRPr="00073196">
      <w:rPr>
        <w:rFonts w:ascii="CeraGR-Medium" w:hAnsi="CeraGR-Medium" w:cs="CeraGR-Bold"/>
        <w:color w:val="1F354D"/>
        <w:sz w:val="16"/>
        <w:szCs w:val="16"/>
      </w:rPr>
      <w:t>mygroup.com  |  phone: 800.633.3353  |  fax: 704.529.59</w:t>
    </w:r>
    <w:r>
      <w:rPr>
        <w:rFonts w:ascii="CeraGR-Medium" w:hAnsi="CeraGR-Medium" w:cs="CeraGR-Bold"/>
        <w:color w:val="1F354D"/>
        <w:sz w:val="16"/>
        <w:szCs w:val="16"/>
      </w:rPr>
      <w:t>17  |  5925 Carnegie Blvd., Suite</w:t>
    </w:r>
    <w:r w:rsidRPr="00073196">
      <w:rPr>
        <w:rFonts w:ascii="CeraGR-Medium" w:hAnsi="CeraGR-Medium" w:cs="CeraGR-Bold"/>
        <w:color w:val="1F354D"/>
        <w:sz w:val="16"/>
        <w:szCs w:val="16"/>
      </w:rPr>
      <w:t xml:space="preserve"> 350 Charlotte NC 28209</w:t>
    </w:r>
    <w:sdt>
      <w:sdtPr>
        <w:rPr>
          <w:color w:val="1F354D"/>
        </w:rPr>
        <w:id w:val="404036141"/>
        <w:docPartObj>
          <w:docPartGallery w:val="Page Numbers (Bottom of Page)"/>
          <w:docPartUnique/>
        </w:docPartObj>
      </w:sdtPr>
      <w:sdtEndPr>
        <w:rPr>
          <w:rFonts w:ascii="CeraGR-Medium" w:hAnsi="CeraGR-Medium" w:cs="CeraGR-Bold"/>
          <w:sz w:val="16"/>
          <w:szCs w:val="16"/>
        </w:rPr>
      </w:sdtEndPr>
      <w:sdtContent>
        <w:r w:rsidRPr="00073196">
          <w:rPr>
            <w:color w:val="1F354D"/>
          </w:rPr>
          <w:tab/>
        </w:r>
        <w:r w:rsidRPr="00073196">
          <w:rPr>
            <w:rFonts w:ascii="CeraGR-Medium" w:hAnsi="CeraGR-Medium" w:cs="CeraGR-Bold"/>
            <w:color w:val="1F354D"/>
            <w:sz w:val="16"/>
            <w:szCs w:val="16"/>
          </w:rPr>
          <w:fldChar w:fldCharType="begin"/>
        </w:r>
        <w:r w:rsidRPr="00073196">
          <w:rPr>
            <w:rFonts w:ascii="CeraGR-Medium" w:hAnsi="CeraGR-Medium" w:cs="CeraGR-Bold"/>
            <w:color w:val="1F354D"/>
            <w:sz w:val="16"/>
            <w:szCs w:val="16"/>
          </w:rPr>
          <w:instrText xml:space="preserve"> PAGE   \* MERGEFORMAT </w:instrText>
        </w:r>
        <w:r w:rsidRPr="00073196">
          <w:rPr>
            <w:rFonts w:ascii="CeraGR-Medium" w:hAnsi="CeraGR-Medium" w:cs="CeraGR-Bold"/>
            <w:color w:val="1F354D"/>
            <w:sz w:val="16"/>
            <w:szCs w:val="16"/>
          </w:rPr>
          <w:fldChar w:fldCharType="separate"/>
        </w:r>
        <w:r>
          <w:rPr>
            <w:rFonts w:ascii="CeraGR-Medium" w:hAnsi="CeraGR-Medium" w:cs="CeraGR-Bold"/>
            <w:noProof/>
            <w:color w:val="1F354D"/>
            <w:sz w:val="16"/>
            <w:szCs w:val="16"/>
          </w:rPr>
          <w:t>4</w:t>
        </w:r>
        <w:r w:rsidRPr="00073196">
          <w:rPr>
            <w:rFonts w:ascii="CeraGR-Medium" w:hAnsi="CeraGR-Medium" w:cs="CeraGR-Bold"/>
            <w:color w:val="1F354D"/>
            <w:sz w:val="16"/>
            <w:szCs w:val="16"/>
          </w:rPr>
          <w:fldChar w:fldCharType="end"/>
        </w:r>
      </w:sdtContent>
    </w:sdt>
  </w:p>
  <w:p w14:paraId="1947931E" w14:textId="77777777" w:rsidR="006E0E78" w:rsidRDefault="006E0E7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B5A3" w14:textId="77777777" w:rsidR="006E0E78" w:rsidRDefault="006E0E78" w:rsidP="00B90918">
    <w:pPr>
      <w:pStyle w:val="BasicParagraph"/>
      <w:suppressAutoHyphens/>
      <w:rPr>
        <w:rFonts w:ascii="CeraGR-Regular" w:hAnsi="CeraGR-Regular" w:cs="CeraGR-Bold"/>
        <w:color w:val="103856"/>
        <w:sz w:val="16"/>
        <w:szCs w:val="18"/>
      </w:rPr>
    </w:pPr>
  </w:p>
  <w:p w14:paraId="29F717CA" w14:textId="77777777" w:rsidR="006E0E78" w:rsidRDefault="006E0E78" w:rsidP="00B90918">
    <w:pPr>
      <w:pStyle w:val="BasicParagraph"/>
      <w:suppressAutoHyphens/>
      <w:rPr>
        <w:rFonts w:ascii="CeraGR-Regular" w:hAnsi="CeraGR-Regular" w:cs="CeraGR-Bold"/>
        <w:color w:val="103856"/>
        <w:sz w:val="16"/>
        <w:szCs w:val="18"/>
      </w:rPr>
    </w:pPr>
  </w:p>
  <w:p w14:paraId="0758779A" w14:textId="77777777" w:rsidR="006E0E78" w:rsidRPr="006B3C84" w:rsidRDefault="006E0E78" w:rsidP="006B3C84">
    <w:pPr>
      <w:pStyle w:val="BasicParagraph"/>
      <w:suppressAutoHyphens/>
      <w:rPr>
        <w:rFonts w:ascii="CeraGR-Regular" w:hAnsi="CeraGR-Regular" w:cs="CeraGR-Bold"/>
        <w:color w:val="103856"/>
        <w:sz w:val="16"/>
        <w:szCs w:val="18"/>
      </w:rPr>
    </w:pPr>
    <w:r>
      <w:rPr>
        <w:rFonts w:ascii="CeraGR-Regular" w:hAnsi="CeraGR-Regular" w:cs="CeraGR-Bold"/>
        <w:color w:val="103856"/>
        <w:sz w:val="16"/>
        <w:szCs w:val="18"/>
      </w:rPr>
      <w:t xml:space="preserve">    </w:t>
    </w:r>
    <w:r w:rsidRPr="00832098">
      <w:rPr>
        <w:rFonts w:ascii="CeraGR-Regular" w:hAnsi="CeraGR-Regular" w:cs="CeraGR-Bold"/>
        <w:color w:val="103856"/>
        <w:sz w:val="16"/>
        <w:szCs w:val="18"/>
      </w:rPr>
      <w:t xml:space="preserve">mygroup.com  |  </w:t>
    </w:r>
    <w:r>
      <w:rPr>
        <w:rFonts w:ascii="CeraGR-Regular" w:hAnsi="CeraGR-Regular" w:cs="CeraGR-Bold"/>
        <w:color w:val="103856"/>
        <w:sz w:val="16"/>
        <w:szCs w:val="18"/>
      </w:rPr>
      <w:t xml:space="preserve">phone: </w:t>
    </w:r>
    <w:r w:rsidRPr="00832098">
      <w:rPr>
        <w:rFonts w:ascii="CeraGR-Regular" w:hAnsi="CeraGR-Regular" w:cs="CeraGR-Bold"/>
        <w:color w:val="103856"/>
        <w:sz w:val="16"/>
        <w:szCs w:val="18"/>
      </w:rPr>
      <w:t xml:space="preserve">800.333.3333  |  </w:t>
    </w:r>
    <w:r>
      <w:rPr>
        <w:rFonts w:ascii="CeraGR-Regular" w:hAnsi="CeraGR-Regular" w:cs="CeraGR-Bold"/>
        <w:color w:val="103856"/>
        <w:sz w:val="16"/>
        <w:szCs w:val="18"/>
      </w:rPr>
      <w:t>fax: 704.529.5917.</w:t>
    </w:r>
    <w:r w:rsidRPr="009910EF">
      <w:rPr>
        <w:rFonts w:ascii="CeraGR-Regular" w:hAnsi="CeraGR-Regular" w:cs="CeraGR-Bold"/>
        <w:color w:val="103856"/>
        <w:sz w:val="16"/>
        <w:szCs w:val="18"/>
      </w:rPr>
      <w:t xml:space="preserve"> </w:t>
    </w:r>
    <w:r w:rsidRPr="00832098">
      <w:rPr>
        <w:rFonts w:ascii="CeraGR-Regular" w:hAnsi="CeraGR-Regular" w:cs="CeraGR-Bold"/>
        <w:color w:val="103856"/>
        <w:sz w:val="16"/>
        <w:szCs w:val="18"/>
      </w:rPr>
      <w:t xml:space="preserve"> |  </w:t>
    </w:r>
    <w:r>
      <w:rPr>
        <w:rFonts w:ascii="CeraGR-Regular" w:hAnsi="CeraGR-Regular" w:cs="CeraGR-Bold"/>
        <w:color w:val="103856"/>
        <w:sz w:val="16"/>
        <w:szCs w:val="18"/>
      </w:rPr>
      <w:t xml:space="preserve">5925 </w:t>
    </w:r>
    <w:r w:rsidRPr="00832098">
      <w:rPr>
        <w:rFonts w:ascii="CeraGR-Regular" w:hAnsi="CeraGR-Regular" w:cs="CeraGR-Bold"/>
        <w:color w:val="103856"/>
        <w:sz w:val="16"/>
        <w:szCs w:val="18"/>
      </w:rPr>
      <w:t>Carnegie Blvd.</w:t>
    </w:r>
    <w:r>
      <w:rPr>
        <w:rFonts w:ascii="CeraGR-Regular" w:hAnsi="CeraGR-Regular" w:cs="CeraGR-Bold"/>
        <w:color w:val="103856"/>
        <w:sz w:val="16"/>
        <w:szCs w:val="18"/>
      </w:rPr>
      <w:t xml:space="preserve"> Suite 350</w:t>
    </w:r>
    <w:r w:rsidRPr="00832098">
      <w:rPr>
        <w:rFonts w:ascii="CeraGR-Regular" w:hAnsi="CeraGR-Regular" w:cs="CeraGR-Bold"/>
        <w:color w:val="103856"/>
        <w:sz w:val="16"/>
        <w:szCs w:val="18"/>
      </w:rPr>
      <w:t xml:space="preserve"> Charlotte NC 28209</w:t>
    </w:r>
    <w:r>
      <w:rPr>
        <w:rFonts w:ascii="CeraGR-Regular" w:hAnsi="CeraGR-Regular" w:cs="CeraGR-Bold"/>
        <w:color w:val="103856"/>
        <w:sz w:val="16"/>
        <w:szCs w:val="18"/>
      </w:rPr>
      <w:t xml:space="preserve">  </w:t>
    </w:r>
    <w:r>
      <w:rPr>
        <w:rFonts w:ascii="CeraGR-Regular" w:hAnsi="CeraGR-Regular" w:cs="CeraGR-Bold"/>
        <w:color w:val="103856"/>
        <w:sz w:val="16"/>
        <w:szCs w:val="18"/>
      </w:rPr>
      <w:tab/>
    </w:r>
    <w:r>
      <w:rPr>
        <w:rFonts w:ascii="CeraGR-Regular" w:hAnsi="CeraGR-Regular" w:cs="CeraGR-Bold"/>
        <w:color w:val="103856"/>
        <w:sz w:val="16"/>
        <w:szCs w:val="18"/>
      </w:rPr>
      <w:tab/>
    </w:r>
    <w:sdt>
      <w:sdtPr>
        <w:id w:val="1854150984"/>
        <w:docPartObj>
          <w:docPartGallery w:val="Page Numbers (Bottom of Page)"/>
          <w:docPartUnique/>
        </w:docPartObj>
      </w:sdtPr>
      <w:sdtEndPr>
        <w:rPr>
          <w:rFonts w:ascii="CeraGR-Regular" w:hAnsi="CeraGR-Regular" w:cs="CeraGR-Bold"/>
          <w:color w:val="103856"/>
          <w:sz w:val="16"/>
          <w:szCs w:val="18"/>
        </w:rPr>
      </w:sdtEndPr>
      <w:sdtContent>
        <w:r w:rsidRPr="00B90918">
          <w:rPr>
            <w:rFonts w:ascii="CeraGR-Regular" w:hAnsi="CeraGR-Regular" w:cs="CeraGR-Bold"/>
            <w:color w:val="103856"/>
            <w:sz w:val="16"/>
            <w:szCs w:val="18"/>
          </w:rPr>
          <w:fldChar w:fldCharType="begin"/>
        </w:r>
        <w:r w:rsidRPr="00B90918">
          <w:rPr>
            <w:rFonts w:ascii="CeraGR-Regular" w:hAnsi="CeraGR-Regular" w:cs="CeraGR-Bold"/>
            <w:color w:val="103856"/>
            <w:sz w:val="16"/>
            <w:szCs w:val="18"/>
          </w:rPr>
          <w:instrText xml:space="preserve"> PAGE   \* MERGEFORMAT </w:instrText>
        </w:r>
        <w:r w:rsidRPr="00B90918">
          <w:rPr>
            <w:rFonts w:ascii="CeraGR-Regular" w:hAnsi="CeraGR-Regular" w:cs="CeraGR-Bold"/>
            <w:color w:val="103856"/>
            <w:sz w:val="16"/>
            <w:szCs w:val="18"/>
          </w:rPr>
          <w:fldChar w:fldCharType="separate"/>
        </w:r>
        <w:r>
          <w:rPr>
            <w:rFonts w:ascii="CeraGR-Regular" w:hAnsi="CeraGR-Regular" w:cs="CeraGR-Bold"/>
            <w:noProof/>
            <w:color w:val="103856"/>
            <w:sz w:val="16"/>
            <w:szCs w:val="18"/>
          </w:rPr>
          <w:t>2</w:t>
        </w:r>
        <w:r w:rsidRPr="00B90918">
          <w:rPr>
            <w:rFonts w:ascii="CeraGR-Regular" w:hAnsi="CeraGR-Regular" w:cs="CeraGR-Bold"/>
            <w:color w:val="103856"/>
            <w:sz w:val="16"/>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661056"/>
      <w:docPartObj>
        <w:docPartGallery w:val="Page Numbers (Bottom of Page)"/>
        <w:docPartUnique/>
      </w:docPartObj>
    </w:sdtPr>
    <w:sdtEndPr>
      <w:rPr>
        <w:rFonts w:ascii="CeraGR-Regular" w:hAnsi="CeraGR-Regular" w:cs="CeraGR-Bold"/>
        <w:color w:val="103856"/>
        <w:sz w:val="16"/>
        <w:szCs w:val="18"/>
      </w:rPr>
    </w:sdtEndPr>
    <w:sdtContent>
      <w:p w14:paraId="5E8C0268" w14:textId="0016E899" w:rsidR="006E0E78" w:rsidRPr="00CA28B0" w:rsidRDefault="006E0E78" w:rsidP="00A83714">
        <w:pPr>
          <w:pStyle w:val="Footer"/>
          <w:rPr>
            <w:rFonts w:ascii="CeraGR-Regular" w:hAnsi="CeraGR-Regular" w:cs="CeraGR-Bold"/>
            <w:color w:val="103856"/>
            <w:sz w:val="16"/>
            <w:szCs w:val="18"/>
          </w:rPr>
        </w:pPr>
        <w:r w:rsidRPr="00832098">
          <w:rPr>
            <w:rFonts w:ascii="CeraGR-Regular" w:hAnsi="CeraGR-Regular" w:cs="CeraGR-Bold"/>
            <w:color w:val="103856"/>
            <w:sz w:val="16"/>
            <w:szCs w:val="18"/>
          </w:rPr>
          <w:t xml:space="preserve">mygroup.com  |  </w:t>
        </w:r>
        <w:r>
          <w:rPr>
            <w:rFonts w:ascii="CeraGR-Regular" w:hAnsi="CeraGR-Regular" w:cs="CeraGR-Bold"/>
            <w:color w:val="103856"/>
            <w:sz w:val="16"/>
            <w:szCs w:val="18"/>
          </w:rPr>
          <w:t xml:space="preserve">phone: </w:t>
        </w:r>
        <w:r w:rsidRPr="00832098">
          <w:rPr>
            <w:rFonts w:ascii="CeraGR-Regular" w:hAnsi="CeraGR-Regular" w:cs="CeraGR-Bold"/>
            <w:color w:val="103856"/>
            <w:sz w:val="16"/>
            <w:szCs w:val="18"/>
          </w:rPr>
          <w:t>800.333.33</w:t>
        </w:r>
        <w:r w:rsidR="00CB4A9D">
          <w:rPr>
            <w:rFonts w:ascii="CeraGR-Regular" w:hAnsi="CeraGR-Regular" w:cs="CeraGR-Bold"/>
            <w:color w:val="103856"/>
            <w:sz w:val="16"/>
            <w:szCs w:val="18"/>
          </w:rPr>
          <w:t>5</w:t>
        </w:r>
        <w:r w:rsidRPr="00832098">
          <w:rPr>
            <w:rFonts w:ascii="CeraGR-Regular" w:hAnsi="CeraGR-Regular" w:cs="CeraGR-Bold"/>
            <w:color w:val="103856"/>
            <w:sz w:val="16"/>
            <w:szCs w:val="18"/>
          </w:rPr>
          <w:t xml:space="preserve">3  |  </w:t>
        </w:r>
        <w:r>
          <w:rPr>
            <w:rFonts w:ascii="CeraGR-Regular" w:hAnsi="CeraGR-Regular" w:cs="CeraGR-Bold"/>
            <w:color w:val="103856"/>
            <w:sz w:val="16"/>
            <w:szCs w:val="18"/>
          </w:rPr>
          <w:t xml:space="preserve">fax: 704.529.5917  </w:t>
        </w:r>
        <w:r w:rsidRPr="00832098">
          <w:rPr>
            <w:rFonts w:ascii="CeraGR-Regular" w:hAnsi="CeraGR-Regular" w:cs="CeraGR-Bold"/>
            <w:color w:val="103856"/>
            <w:sz w:val="16"/>
            <w:szCs w:val="18"/>
          </w:rPr>
          <w:t xml:space="preserve">| </w:t>
        </w:r>
        <w:r>
          <w:rPr>
            <w:rFonts w:ascii="CeraGR-Regular" w:hAnsi="CeraGR-Regular" w:cs="CeraGR-Bold"/>
            <w:color w:val="103856"/>
            <w:sz w:val="16"/>
            <w:szCs w:val="18"/>
          </w:rPr>
          <w:t xml:space="preserve"> </w:t>
        </w:r>
        <w:r w:rsidRPr="00832098">
          <w:rPr>
            <w:rFonts w:ascii="CeraGR-Regular" w:hAnsi="CeraGR-Regular" w:cs="CeraGR-Bold"/>
            <w:color w:val="103856"/>
            <w:sz w:val="16"/>
            <w:szCs w:val="18"/>
          </w:rPr>
          <w:t>5925 Carnegie Blvd.</w:t>
        </w:r>
        <w:r>
          <w:rPr>
            <w:rFonts w:ascii="CeraGR-Regular" w:hAnsi="CeraGR-Regular" w:cs="CeraGR-Bold"/>
            <w:color w:val="103856"/>
            <w:sz w:val="16"/>
            <w:szCs w:val="18"/>
          </w:rPr>
          <w:t xml:space="preserve">, Suite 350 </w:t>
        </w:r>
        <w:r w:rsidRPr="00832098">
          <w:rPr>
            <w:rFonts w:ascii="CeraGR-Regular" w:hAnsi="CeraGR-Regular" w:cs="CeraGR-Bold"/>
            <w:color w:val="103856"/>
            <w:sz w:val="16"/>
            <w:szCs w:val="18"/>
          </w:rPr>
          <w:t xml:space="preserve"> Charlotte NC 28209</w:t>
        </w:r>
        <w:r>
          <w:rPr>
            <w:rFonts w:ascii="CeraGR-Regular" w:hAnsi="CeraGR-Regular" w:cs="CeraGR-Bold"/>
            <w:color w:val="103856"/>
            <w:sz w:val="16"/>
            <w:szCs w:val="18"/>
          </w:rPr>
          <w:t xml:space="preserve">  </w:t>
        </w:r>
        <w:r>
          <w:rPr>
            <w:rFonts w:ascii="CeraGR-Regular" w:hAnsi="CeraGR-Regular" w:cs="CeraGR-Bold"/>
            <w:color w:val="103856"/>
            <w:sz w:val="16"/>
            <w:szCs w:val="18"/>
          </w:rPr>
          <w:tab/>
        </w:r>
        <w:r w:rsidRPr="00CA28B0">
          <w:rPr>
            <w:rFonts w:ascii="CeraGR-Regular" w:hAnsi="CeraGR-Regular" w:cs="CeraGR-Bold"/>
            <w:color w:val="103856"/>
            <w:sz w:val="16"/>
            <w:szCs w:val="18"/>
          </w:rPr>
          <w:fldChar w:fldCharType="begin"/>
        </w:r>
        <w:r w:rsidRPr="00CA28B0">
          <w:rPr>
            <w:rFonts w:ascii="CeraGR-Regular" w:hAnsi="CeraGR-Regular" w:cs="CeraGR-Bold"/>
            <w:color w:val="103856"/>
            <w:sz w:val="16"/>
            <w:szCs w:val="18"/>
          </w:rPr>
          <w:instrText xml:space="preserve"> PAGE   \* MERGEFORMAT </w:instrText>
        </w:r>
        <w:r w:rsidRPr="00CA28B0">
          <w:rPr>
            <w:rFonts w:ascii="CeraGR-Regular" w:hAnsi="CeraGR-Regular" w:cs="CeraGR-Bold"/>
            <w:color w:val="103856"/>
            <w:sz w:val="16"/>
            <w:szCs w:val="18"/>
          </w:rPr>
          <w:fldChar w:fldCharType="separate"/>
        </w:r>
        <w:r>
          <w:rPr>
            <w:rFonts w:ascii="CeraGR-Regular" w:hAnsi="CeraGR-Regular" w:cs="CeraGR-Bold"/>
            <w:noProof/>
            <w:color w:val="103856"/>
            <w:sz w:val="16"/>
            <w:szCs w:val="18"/>
          </w:rPr>
          <w:t>16</w:t>
        </w:r>
        <w:r w:rsidRPr="00CA28B0">
          <w:rPr>
            <w:rFonts w:ascii="CeraGR-Regular" w:hAnsi="CeraGR-Regular" w:cs="CeraGR-Bold"/>
            <w:color w:val="103856"/>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1C90" w14:textId="77777777" w:rsidR="006E0E78" w:rsidRDefault="006E0E78">
      <w:r>
        <w:separator/>
      </w:r>
    </w:p>
  </w:footnote>
  <w:footnote w:type="continuationSeparator" w:id="0">
    <w:p w14:paraId="4AA1E76C" w14:textId="77777777" w:rsidR="006E0E78" w:rsidRDefault="006E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3886" w14:textId="77777777" w:rsidR="006E0E78" w:rsidRDefault="006E0E78">
    <w:pPr>
      <w:pStyle w:val="Header"/>
    </w:pPr>
  </w:p>
  <w:p w14:paraId="7C551D14" w14:textId="77777777" w:rsidR="006E0E78" w:rsidRDefault="006E0E78">
    <w:pPr>
      <w:pStyle w:val="Header"/>
    </w:pPr>
  </w:p>
  <w:p w14:paraId="68499581" w14:textId="77777777" w:rsidR="006E0E78" w:rsidRDefault="006E0E78">
    <w:pPr>
      <w:pStyle w:val="Header"/>
    </w:pPr>
    <w:r w:rsidRPr="00832098">
      <w:rPr>
        <w:noProof/>
      </w:rPr>
      <w:drawing>
        <wp:inline distT="0" distB="0" distL="0" distR="0" wp14:anchorId="0209E5DF" wp14:editId="50C45C00">
          <wp:extent cx="2023533" cy="567055"/>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roupLOGO-02.jpg"/>
                  <pic:cNvPicPr/>
                </pic:nvPicPr>
                <pic:blipFill rotWithShape="1">
                  <a:blip r:embed="rId1">
                    <a:extLst>
                      <a:ext uri="{28A0092B-C50C-407E-A947-70E740481C1C}">
                        <a14:useLocalDpi xmlns:a14="http://schemas.microsoft.com/office/drawing/2010/main" val="0"/>
                      </a:ext>
                    </a:extLst>
                  </a:blip>
                  <a:srcRect l="10640" t="29064" r="14569" b="22228"/>
                  <a:stretch/>
                </pic:blipFill>
                <pic:spPr bwMode="auto">
                  <a:xfrm>
                    <a:off x="0" y="0"/>
                    <a:ext cx="2026552" cy="5679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BD30" w14:textId="77777777" w:rsidR="006E0E78" w:rsidRDefault="006E0E78">
    <w:pPr>
      <w:pStyle w:val="Header"/>
    </w:pPr>
  </w:p>
  <w:p w14:paraId="10BBB9C0" w14:textId="77777777" w:rsidR="006E0E78" w:rsidRDefault="006E0E78">
    <w:pPr>
      <w:pStyle w:val="Header"/>
    </w:pPr>
    <w:r w:rsidRPr="00832098">
      <w:rPr>
        <w:noProof/>
      </w:rPr>
      <w:drawing>
        <wp:inline distT="0" distB="0" distL="0" distR="0" wp14:anchorId="180A4A7D" wp14:editId="5DD869C3">
          <wp:extent cx="2023533" cy="567055"/>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roupLOGO-02.jpg"/>
                  <pic:cNvPicPr/>
                </pic:nvPicPr>
                <pic:blipFill rotWithShape="1">
                  <a:blip r:embed="rId1">
                    <a:extLst>
                      <a:ext uri="{28A0092B-C50C-407E-A947-70E740481C1C}">
                        <a14:useLocalDpi xmlns:a14="http://schemas.microsoft.com/office/drawing/2010/main" val="0"/>
                      </a:ext>
                    </a:extLst>
                  </a:blip>
                  <a:srcRect l="10640" t="29064" r="14569" b="22228"/>
                  <a:stretch/>
                </pic:blipFill>
                <pic:spPr bwMode="auto">
                  <a:xfrm>
                    <a:off x="0" y="0"/>
                    <a:ext cx="2026552" cy="5679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1E75" w14:textId="77777777" w:rsidR="006E0E78" w:rsidRDefault="006E0E78" w:rsidP="008A44A5">
    <w:pPr>
      <w:spacing w:line="14" w:lineRule="auto"/>
      <w:ind w:left="720"/>
      <w:rPr>
        <w:sz w:val="20"/>
        <w:szCs w:val="20"/>
      </w:rPr>
    </w:pPr>
    <w:r>
      <w:rPr>
        <w:noProof/>
        <w:sz w:val="20"/>
        <w:szCs w:val="20"/>
      </w:rPr>
      <w:drawing>
        <wp:anchor distT="0" distB="0" distL="114300" distR="114300" simplePos="0" relativeHeight="503299992" behindDoc="1" locked="0" layoutInCell="1" allowOverlap="1" wp14:anchorId="525E3B33" wp14:editId="0411F9CF">
          <wp:simplePos x="0" y="0"/>
          <wp:positionH relativeFrom="column">
            <wp:posOffset>-33655</wp:posOffset>
          </wp:positionH>
          <wp:positionV relativeFrom="paragraph">
            <wp:posOffset>-120650</wp:posOffset>
          </wp:positionV>
          <wp:extent cx="2019935" cy="563245"/>
          <wp:effectExtent l="0" t="0" r="0" b="8255"/>
          <wp:wrapTight wrapText="bothSides">
            <wp:wrapPolygon edited="0">
              <wp:start x="0" y="0"/>
              <wp:lineTo x="0" y="21186"/>
              <wp:lineTo x="21390" y="21186"/>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9452" w14:textId="77777777" w:rsidR="006E0E78" w:rsidRDefault="006E0E78" w:rsidP="008A44A5">
    <w:pPr>
      <w:spacing w:line="14" w:lineRule="auto"/>
      <w:ind w:left="720"/>
      <w:rPr>
        <w:sz w:val="20"/>
        <w:szCs w:val="20"/>
      </w:rPr>
    </w:pPr>
    <w:r>
      <w:rPr>
        <w:noProof/>
        <w:sz w:val="20"/>
        <w:szCs w:val="20"/>
      </w:rPr>
      <w:drawing>
        <wp:anchor distT="0" distB="0" distL="114300" distR="114300" simplePos="0" relativeHeight="503302040" behindDoc="1" locked="0" layoutInCell="1" allowOverlap="1" wp14:anchorId="40A92B5A" wp14:editId="34F0FB88">
          <wp:simplePos x="0" y="0"/>
          <wp:positionH relativeFrom="column">
            <wp:posOffset>433705</wp:posOffset>
          </wp:positionH>
          <wp:positionV relativeFrom="paragraph">
            <wp:posOffset>-120650</wp:posOffset>
          </wp:positionV>
          <wp:extent cx="2019935" cy="563245"/>
          <wp:effectExtent l="0" t="0" r="0" b="8255"/>
          <wp:wrapTight wrapText="bothSides">
            <wp:wrapPolygon edited="0">
              <wp:start x="0" y="0"/>
              <wp:lineTo x="0" y="21186"/>
              <wp:lineTo x="21390" y="21186"/>
              <wp:lineTo x="213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2621"/>
    <w:multiLevelType w:val="hybridMultilevel"/>
    <w:tmpl w:val="07D014B0"/>
    <w:lvl w:ilvl="0" w:tplc="E39ED708">
      <w:start w:val="1"/>
      <w:numFmt w:val="bullet"/>
      <w:lvlText w:val="•"/>
      <w:lvlJc w:val="left"/>
      <w:pPr>
        <w:ind w:left="2280" w:hanging="360"/>
      </w:pPr>
      <w:rPr>
        <w:rFonts w:ascii="CeraGR-Regular" w:eastAsia="Garamond" w:hAnsi="CeraGR-Regular" w:hint="default"/>
        <w:sz w:val="24"/>
        <w:szCs w:val="24"/>
      </w:rPr>
    </w:lvl>
    <w:lvl w:ilvl="1" w:tplc="6AEC48F0">
      <w:start w:val="1"/>
      <w:numFmt w:val="bullet"/>
      <w:lvlText w:val="•"/>
      <w:lvlJc w:val="left"/>
      <w:pPr>
        <w:ind w:left="3082" w:hanging="360"/>
      </w:pPr>
      <w:rPr>
        <w:rFonts w:hint="default"/>
      </w:rPr>
    </w:lvl>
    <w:lvl w:ilvl="2" w:tplc="AAD08994">
      <w:start w:val="1"/>
      <w:numFmt w:val="bullet"/>
      <w:lvlText w:val="•"/>
      <w:lvlJc w:val="left"/>
      <w:pPr>
        <w:ind w:left="3884" w:hanging="360"/>
      </w:pPr>
      <w:rPr>
        <w:rFonts w:hint="default"/>
      </w:rPr>
    </w:lvl>
    <w:lvl w:ilvl="3" w:tplc="9064BFCE">
      <w:start w:val="1"/>
      <w:numFmt w:val="bullet"/>
      <w:lvlText w:val="•"/>
      <w:lvlJc w:val="left"/>
      <w:pPr>
        <w:ind w:left="4686" w:hanging="360"/>
      </w:pPr>
      <w:rPr>
        <w:rFonts w:hint="default"/>
      </w:rPr>
    </w:lvl>
    <w:lvl w:ilvl="4" w:tplc="DD0E21CE">
      <w:start w:val="1"/>
      <w:numFmt w:val="bullet"/>
      <w:lvlText w:val="•"/>
      <w:lvlJc w:val="left"/>
      <w:pPr>
        <w:ind w:left="5488" w:hanging="360"/>
      </w:pPr>
      <w:rPr>
        <w:rFonts w:hint="default"/>
      </w:rPr>
    </w:lvl>
    <w:lvl w:ilvl="5" w:tplc="5B8EE6C4">
      <w:start w:val="1"/>
      <w:numFmt w:val="bullet"/>
      <w:lvlText w:val="•"/>
      <w:lvlJc w:val="left"/>
      <w:pPr>
        <w:ind w:left="6290" w:hanging="360"/>
      </w:pPr>
      <w:rPr>
        <w:rFonts w:hint="default"/>
      </w:rPr>
    </w:lvl>
    <w:lvl w:ilvl="6" w:tplc="85B28432">
      <w:start w:val="1"/>
      <w:numFmt w:val="bullet"/>
      <w:lvlText w:val="•"/>
      <w:lvlJc w:val="left"/>
      <w:pPr>
        <w:ind w:left="7092" w:hanging="360"/>
      </w:pPr>
      <w:rPr>
        <w:rFonts w:hint="default"/>
      </w:rPr>
    </w:lvl>
    <w:lvl w:ilvl="7" w:tplc="FE163FCE">
      <w:start w:val="1"/>
      <w:numFmt w:val="bullet"/>
      <w:lvlText w:val="•"/>
      <w:lvlJc w:val="left"/>
      <w:pPr>
        <w:ind w:left="7894" w:hanging="360"/>
      </w:pPr>
      <w:rPr>
        <w:rFonts w:hint="default"/>
      </w:rPr>
    </w:lvl>
    <w:lvl w:ilvl="8" w:tplc="1D3E5DD4">
      <w:start w:val="1"/>
      <w:numFmt w:val="bullet"/>
      <w:lvlText w:val="•"/>
      <w:lvlJc w:val="left"/>
      <w:pPr>
        <w:ind w:left="8696" w:hanging="360"/>
      </w:pPr>
      <w:rPr>
        <w:rFonts w:hint="default"/>
      </w:rPr>
    </w:lvl>
  </w:abstractNum>
  <w:abstractNum w:abstractNumId="1" w15:restartNumberingAfterBreak="0">
    <w:nsid w:val="119E7D75"/>
    <w:multiLevelType w:val="hybridMultilevel"/>
    <w:tmpl w:val="6E4255A8"/>
    <w:lvl w:ilvl="0" w:tplc="6E4CEBC4">
      <w:start w:val="1"/>
      <w:numFmt w:val="bullet"/>
      <w:lvlText w:val="•"/>
      <w:lvlJc w:val="left"/>
      <w:pPr>
        <w:ind w:left="2280" w:hanging="360"/>
      </w:pPr>
      <w:rPr>
        <w:rFonts w:ascii="Garamond" w:eastAsia="Garamond" w:hAnsi="Garamond" w:hint="default"/>
        <w:sz w:val="28"/>
        <w:szCs w:val="28"/>
      </w:rPr>
    </w:lvl>
    <w:lvl w:ilvl="1" w:tplc="51EA08D2">
      <w:start w:val="1"/>
      <w:numFmt w:val="bullet"/>
      <w:lvlText w:val="•"/>
      <w:lvlJc w:val="left"/>
      <w:pPr>
        <w:ind w:left="3080" w:hanging="360"/>
      </w:pPr>
      <w:rPr>
        <w:rFonts w:hint="default"/>
      </w:rPr>
    </w:lvl>
    <w:lvl w:ilvl="2" w:tplc="B964E2CC">
      <w:start w:val="1"/>
      <w:numFmt w:val="bullet"/>
      <w:lvlText w:val="•"/>
      <w:lvlJc w:val="left"/>
      <w:pPr>
        <w:ind w:left="3880" w:hanging="360"/>
      </w:pPr>
      <w:rPr>
        <w:rFonts w:hint="default"/>
      </w:rPr>
    </w:lvl>
    <w:lvl w:ilvl="3" w:tplc="68BC6F06">
      <w:start w:val="1"/>
      <w:numFmt w:val="bullet"/>
      <w:lvlText w:val="•"/>
      <w:lvlJc w:val="left"/>
      <w:pPr>
        <w:ind w:left="4680" w:hanging="360"/>
      </w:pPr>
      <w:rPr>
        <w:rFonts w:hint="default"/>
      </w:rPr>
    </w:lvl>
    <w:lvl w:ilvl="4" w:tplc="D186AB9C">
      <w:start w:val="1"/>
      <w:numFmt w:val="bullet"/>
      <w:lvlText w:val="•"/>
      <w:lvlJc w:val="left"/>
      <w:pPr>
        <w:ind w:left="5480" w:hanging="360"/>
      </w:pPr>
      <w:rPr>
        <w:rFonts w:hint="default"/>
      </w:rPr>
    </w:lvl>
    <w:lvl w:ilvl="5" w:tplc="282A2A94">
      <w:start w:val="1"/>
      <w:numFmt w:val="bullet"/>
      <w:lvlText w:val="•"/>
      <w:lvlJc w:val="left"/>
      <w:pPr>
        <w:ind w:left="6280" w:hanging="360"/>
      </w:pPr>
      <w:rPr>
        <w:rFonts w:hint="default"/>
      </w:rPr>
    </w:lvl>
    <w:lvl w:ilvl="6" w:tplc="C9B26468">
      <w:start w:val="1"/>
      <w:numFmt w:val="bullet"/>
      <w:lvlText w:val="•"/>
      <w:lvlJc w:val="left"/>
      <w:pPr>
        <w:ind w:left="7080" w:hanging="360"/>
      </w:pPr>
      <w:rPr>
        <w:rFonts w:hint="default"/>
      </w:rPr>
    </w:lvl>
    <w:lvl w:ilvl="7" w:tplc="5AE80CB8">
      <w:start w:val="1"/>
      <w:numFmt w:val="bullet"/>
      <w:lvlText w:val="•"/>
      <w:lvlJc w:val="left"/>
      <w:pPr>
        <w:ind w:left="7880" w:hanging="360"/>
      </w:pPr>
      <w:rPr>
        <w:rFonts w:hint="default"/>
      </w:rPr>
    </w:lvl>
    <w:lvl w:ilvl="8" w:tplc="58D07C04">
      <w:start w:val="1"/>
      <w:numFmt w:val="bullet"/>
      <w:lvlText w:val="•"/>
      <w:lvlJc w:val="left"/>
      <w:pPr>
        <w:ind w:left="8680" w:hanging="360"/>
      </w:pPr>
      <w:rPr>
        <w:rFonts w:hint="default"/>
      </w:rPr>
    </w:lvl>
  </w:abstractNum>
  <w:abstractNum w:abstractNumId="2" w15:restartNumberingAfterBreak="0">
    <w:nsid w:val="157F5361"/>
    <w:multiLevelType w:val="hybridMultilevel"/>
    <w:tmpl w:val="3D78AC4C"/>
    <w:lvl w:ilvl="0" w:tplc="6BD415EA">
      <w:start w:val="1"/>
      <w:numFmt w:val="lowerLetter"/>
      <w:lvlText w:val="%1."/>
      <w:lvlJc w:val="left"/>
      <w:pPr>
        <w:ind w:left="2280" w:hanging="360"/>
      </w:pPr>
      <w:rPr>
        <w:rFonts w:ascii="CeraGR-Regular" w:eastAsia="Garamond" w:hAnsi="CeraGR-Regular" w:hint="default"/>
        <w:spacing w:val="1"/>
        <w:sz w:val="18"/>
        <w:szCs w:val="18"/>
      </w:rPr>
    </w:lvl>
    <w:lvl w:ilvl="1" w:tplc="673E1B28">
      <w:start w:val="1"/>
      <w:numFmt w:val="bullet"/>
      <w:lvlText w:val="•"/>
      <w:lvlJc w:val="left"/>
      <w:pPr>
        <w:ind w:left="3084" w:hanging="360"/>
      </w:pPr>
      <w:rPr>
        <w:rFonts w:hint="default"/>
      </w:rPr>
    </w:lvl>
    <w:lvl w:ilvl="2" w:tplc="25629202">
      <w:start w:val="1"/>
      <w:numFmt w:val="bullet"/>
      <w:lvlText w:val="•"/>
      <w:lvlJc w:val="left"/>
      <w:pPr>
        <w:ind w:left="3888" w:hanging="360"/>
      </w:pPr>
      <w:rPr>
        <w:rFonts w:hint="default"/>
      </w:rPr>
    </w:lvl>
    <w:lvl w:ilvl="3" w:tplc="D7EC234C">
      <w:start w:val="1"/>
      <w:numFmt w:val="bullet"/>
      <w:lvlText w:val="•"/>
      <w:lvlJc w:val="left"/>
      <w:pPr>
        <w:ind w:left="4692" w:hanging="360"/>
      </w:pPr>
      <w:rPr>
        <w:rFonts w:hint="default"/>
      </w:rPr>
    </w:lvl>
    <w:lvl w:ilvl="4" w:tplc="753AA206">
      <w:start w:val="1"/>
      <w:numFmt w:val="bullet"/>
      <w:lvlText w:val="•"/>
      <w:lvlJc w:val="left"/>
      <w:pPr>
        <w:ind w:left="5496" w:hanging="360"/>
      </w:pPr>
      <w:rPr>
        <w:rFonts w:hint="default"/>
      </w:rPr>
    </w:lvl>
    <w:lvl w:ilvl="5" w:tplc="6A107536">
      <w:start w:val="1"/>
      <w:numFmt w:val="bullet"/>
      <w:lvlText w:val="•"/>
      <w:lvlJc w:val="left"/>
      <w:pPr>
        <w:ind w:left="6300" w:hanging="360"/>
      </w:pPr>
      <w:rPr>
        <w:rFonts w:hint="default"/>
      </w:rPr>
    </w:lvl>
    <w:lvl w:ilvl="6" w:tplc="00783924">
      <w:start w:val="1"/>
      <w:numFmt w:val="bullet"/>
      <w:lvlText w:val="•"/>
      <w:lvlJc w:val="left"/>
      <w:pPr>
        <w:ind w:left="7104" w:hanging="360"/>
      </w:pPr>
      <w:rPr>
        <w:rFonts w:hint="default"/>
      </w:rPr>
    </w:lvl>
    <w:lvl w:ilvl="7" w:tplc="67BE5A20">
      <w:start w:val="1"/>
      <w:numFmt w:val="bullet"/>
      <w:lvlText w:val="•"/>
      <w:lvlJc w:val="left"/>
      <w:pPr>
        <w:ind w:left="7908" w:hanging="360"/>
      </w:pPr>
      <w:rPr>
        <w:rFonts w:hint="default"/>
      </w:rPr>
    </w:lvl>
    <w:lvl w:ilvl="8" w:tplc="D0AE24B6">
      <w:start w:val="1"/>
      <w:numFmt w:val="bullet"/>
      <w:lvlText w:val="•"/>
      <w:lvlJc w:val="left"/>
      <w:pPr>
        <w:ind w:left="8712" w:hanging="360"/>
      </w:pPr>
      <w:rPr>
        <w:rFonts w:hint="default"/>
      </w:rPr>
    </w:lvl>
  </w:abstractNum>
  <w:abstractNum w:abstractNumId="3" w15:restartNumberingAfterBreak="0">
    <w:nsid w:val="20D82983"/>
    <w:multiLevelType w:val="hybridMultilevel"/>
    <w:tmpl w:val="6F7C890E"/>
    <w:lvl w:ilvl="0" w:tplc="6C847BB6">
      <w:start w:val="1"/>
      <w:numFmt w:val="bullet"/>
      <w:lvlText w:val="o"/>
      <w:lvlJc w:val="left"/>
      <w:pPr>
        <w:ind w:left="1130" w:hanging="360"/>
      </w:pPr>
      <w:rPr>
        <w:rFonts w:ascii="Courier New" w:eastAsia="Courier New" w:hAnsi="Courier New" w:hint="default"/>
        <w:sz w:val="28"/>
        <w:szCs w:val="28"/>
      </w:rPr>
    </w:lvl>
    <w:lvl w:ilvl="1" w:tplc="97369590">
      <w:start w:val="1"/>
      <w:numFmt w:val="bullet"/>
      <w:lvlText w:val="•"/>
      <w:lvlJc w:val="left"/>
      <w:pPr>
        <w:ind w:left="1481" w:hanging="360"/>
      </w:pPr>
      <w:rPr>
        <w:rFonts w:hint="default"/>
      </w:rPr>
    </w:lvl>
    <w:lvl w:ilvl="2" w:tplc="2D1619E8">
      <w:start w:val="1"/>
      <w:numFmt w:val="bullet"/>
      <w:lvlText w:val="•"/>
      <w:lvlJc w:val="left"/>
      <w:pPr>
        <w:ind w:left="1832" w:hanging="360"/>
      </w:pPr>
      <w:rPr>
        <w:rFonts w:hint="default"/>
      </w:rPr>
    </w:lvl>
    <w:lvl w:ilvl="3" w:tplc="2ADCBC26">
      <w:start w:val="1"/>
      <w:numFmt w:val="bullet"/>
      <w:lvlText w:val="•"/>
      <w:lvlJc w:val="left"/>
      <w:pPr>
        <w:ind w:left="2182" w:hanging="360"/>
      </w:pPr>
      <w:rPr>
        <w:rFonts w:hint="default"/>
      </w:rPr>
    </w:lvl>
    <w:lvl w:ilvl="4" w:tplc="8FF2C89C">
      <w:start w:val="1"/>
      <w:numFmt w:val="bullet"/>
      <w:lvlText w:val="•"/>
      <w:lvlJc w:val="left"/>
      <w:pPr>
        <w:ind w:left="2533" w:hanging="360"/>
      </w:pPr>
      <w:rPr>
        <w:rFonts w:hint="default"/>
      </w:rPr>
    </w:lvl>
    <w:lvl w:ilvl="5" w:tplc="89B09CE6">
      <w:start w:val="1"/>
      <w:numFmt w:val="bullet"/>
      <w:lvlText w:val="•"/>
      <w:lvlJc w:val="left"/>
      <w:pPr>
        <w:ind w:left="2884" w:hanging="360"/>
      </w:pPr>
      <w:rPr>
        <w:rFonts w:hint="default"/>
      </w:rPr>
    </w:lvl>
    <w:lvl w:ilvl="6" w:tplc="8E5E5820">
      <w:start w:val="1"/>
      <w:numFmt w:val="bullet"/>
      <w:lvlText w:val="•"/>
      <w:lvlJc w:val="left"/>
      <w:pPr>
        <w:ind w:left="3234" w:hanging="360"/>
      </w:pPr>
      <w:rPr>
        <w:rFonts w:hint="default"/>
      </w:rPr>
    </w:lvl>
    <w:lvl w:ilvl="7" w:tplc="2398F5CE">
      <w:start w:val="1"/>
      <w:numFmt w:val="bullet"/>
      <w:lvlText w:val="•"/>
      <w:lvlJc w:val="left"/>
      <w:pPr>
        <w:ind w:left="3585" w:hanging="360"/>
      </w:pPr>
      <w:rPr>
        <w:rFonts w:hint="default"/>
      </w:rPr>
    </w:lvl>
    <w:lvl w:ilvl="8" w:tplc="6E9A928E">
      <w:start w:val="1"/>
      <w:numFmt w:val="bullet"/>
      <w:lvlText w:val="•"/>
      <w:lvlJc w:val="left"/>
      <w:pPr>
        <w:ind w:left="3936" w:hanging="360"/>
      </w:pPr>
      <w:rPr>
        <w:rFonts w:hint="default"/>
      </w:rPr>
    </w:lvl>
  </w:abstractNum>
  <w:abstractNum w:abstractNumId="4" w15:restartNumberingAfterBreak="0">
    <w:nsid w:val="43251F23"/>
    <w:multiLevelType w:val="hybridMultilevel"/>
    <w:tmpl w:val="8B607020"/>
    <w:lvl w:ilvl="0" w:tplc="DFFA130E">
      <w:start w:val="10"/>
      <w:numFmt w:val="upperRoman"/>
      <w:lvlText w:val="%1."/>
      <w:lvlJc w:val="left"/>
      <w:pPr>
        <w:ind w:left="1560" w:hanging="720"/>
      </w:pPr>
      <w:rPr>
        <w:rFonts w:ascii="Garamond" w:eastAsia="Garamond" w:hAnsi="Garamond" w:hint="default"/>
        <w:b/>
        <w:bCs/>
        <w:spacing w:val="-1"/>
        <w:w w:val="99"/>
        <w:sz w:val="26"/>
        <w:szCs w:val="26"/>
      </w:rPr>
    </w:lvl>
    <w:lvl w:ilvl="1" w:tplc="6EFE8D56">
      <w:start w:val="1"/>
      <w:numFmt w:val="bullet"/>
      <w:lvlText w:val="•"/>
      <w:lvlJc w:val="left"/>
      <w:pPr>
        <w:ind w:left="2456" w:hanging="720"/>
      </w:pPr>
      <w:rPr>
        <w:rFonts w:hint="default"/>
      </w:rPr>
    </w:lvl>
    <w:lvl w:ilvl="2" w:tplc="A52AB644">
      <w:start w:val="1"/>
      <w:numFmt w:val="bullet"/>
      <w:lvlText w:val="•"/>
      <w:lvlJc w:val="left"/>
      <w:pPr>
        <w:ind w:left="3352" w:hanging="720"/>
      </w:pPr>
      <w:rPr>
        <w:rFonts w:hint="default"/>
      </w:rPr>
    </w:lvl>
    <w:lvl w:ilvl="3" w:tplc="FC620708">
      <w:start w:val="1"/>
      <w:numFmt w:val="bullet"/>
      <w:lvlText w:val="•"/>
      <w:lvlJc w:val="left"/>
      <w:pPr>
        <w:ind w:left="4248" w:hanging="720"/>
      </w:pPr>
      <w:rPr>
        <w:rFonts w:hint="default"/>
      </w:rPr>
    </w:lvl>
    <w:lvl w:ilvl="4" w:tplc="275A237A">
      <w:start w:val="1"/>
      <w:numFmt w:val="bullet"/>
      <w:lvlText w:val="•"/>
      <w:lvlJc w:val="left"/>
      <w:pPr>
        <w:ind w:left="5144" w:hanging="720"/>
      </w:pPr>
      <w:rPr>
        <w:rFonts w:hint="default"/>
      </w:rPr>
    </w:lvl>
    <w:lvl w:ilvl="5" w:tplc="8648229A">
      <w:start w:val="1"/>
      <w:numFmt w:val="bullet"/>
      <w:lvlText w:val="•"/>
      <w:lvlJc w:val="left"/>
      <w:pPr>
        <w:ind w:left="6040" w:hanging="720"/>
      </w:pPr>
      <w:rPr>
        <w:rFonts w:hint="default"/>
      </w:rPr>
    </w:lvl>
    <w:lvl w:ilvl="6" w:tplc="EC78410A">
      <w:start w:val="1"/>
      <w:numFmt w:val="bullet"/>
      <w:lvlText w:val="•"/>
      <w:lvlJc w:val="left"/>
      <w:pPr>
        <w:ind w:left="6936" w:hanging="720"/>
      </w:pPr>
      <w:rPr>
        <w:rFonts w:hint="default"/>
      </w:rPr>
    </w:lvl>
    <w:lvl w:ilvl="7" w:tplc="79F6638E">
      <w:start w:val="1"/>
      <w:numFmt w:val="bullet"/>
      <w:lvlText w:val="•"/>
      <w:lvlJc w:val="left"/>
      <w:pPr>
        <w:ind w:left="7832" w:hanging="720"/>
      </w:pPr>
      <w:rPr>
        <w:rFonts w:hint="default"/>
      </w:rPr>
    </w:lvl>
    <w:lvl w:ilvl="8" w:tplc="B53AEDB6">
      <w:start w:val="1"/>
      <w:numFmt w:val="bullet"/>
      <w:lvlText w:val="•"/>
      <w:lvlJc w:val="left"/>
      <w:pPr>
        <w:ind w:left="8728" w:hanging="720"/>
      </w:pPr>
      <w:rPr>
        <w:rFonts w:hint="default"/>
      </w:rPr>
    </w:lvl>
  </w:abstractNum>
  <w:abstractNum w:abstractNumId="5" w15:restartNumberingAfterBreak="0">
    <w:nsid w:val="53F36739"/>
    <w:multiLevelType w:val="hybridMultilevel"/>
    <w:tmpl w:val="5DB8B8C6"/>
    <w:lvl w:ilvl="0" w:tplc="F9027E08">
      <w:start w:val="1"/>
      <w:numFmt w:val="bullet"/>
      <w:lvlText w:val=""/>
      <w:lvlJc w:val="left"/>
      <w:pPr>
        <w:ind w:left="2344" w:hanging="360"/>
      </w:pPr>
      <w:rPr>
        <w:rFonts w:ascii="Symbol" w:hAnsi="Symbol" w:hint="default"/>
        <w:sz w:val="20"/>
        <w:szCs w:val="20"/>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6" w15:restartNumberingAfterBreak="0">
    <w:nsid w:val="54020745"/>
    <w:multiLevelType w:val="hybridMultilevel"/>
    <w:tmpl w:val="DC762DE0"/>
    <w:lvl w:ilvl="0" w:tplc="BC129030">
      <w:start w:val="1"/>
      <w:numFmt w:val="upperRoman"/>
      <w:lvlText w:val="%1."/>
      <w:lvlJc w:val="left"/>
      <w:pPr>
        <w:ind w:left="720" w:hanging="720"/>
      </w:pPr>
      <w:rPr>
        <w:rFonts w:ascii="CeraGR-Regular" w:eastAsia="Garamond" w:hAnsi="CeraGR-Regular" w:hint="default"/>
        <w:b/>
        <w:bCs/>
        <w:color w:val="1F354D"/>
        <w:spacing w:val="-1"/>
        <w:sz w:val="24"/>
        <w:szCs w:val="24"/>
      </w:rPr>
    </w:lvl>
    <w:lvl w:ilvl="1" w:tplc="37C4CDE4">
      <w:start w:val="1"/>
      <w:numFmt w:val="bullet"/>
      <w:lvlText w:val="o"/>
      <w:lvlJc w:val="left"/>
      <w:pPr>
        <w:ind w:left="1080" w:hanging="360"/>
      </w:pPr>
      <w:rPr>
        <w:rFonts w:ascii="Courier New" w:eastAsia="Courier New" w:hAnsi="Courier New" w:hint="default"/>
        <w:color w:val="474746"/>
        <w:sz w:val="18"/>
        <w:szCs w:val="18"/>
      </w:rPr>
    </w:lvl>
    <w:lvl w:ilvl="2" w:tplc="09D0CF74">
      <w:start w:val="1"/>
      <w:numFmt w:val="bullet"/>
      <w:lvlText w:val=""/>
      <w:lvlJc w:val="left"/>
      <w:pPr>
        <w:ind w:left="2161" w:hanging="361"/>
      </w:pPr>
      <w:rPr>
        <w:rFonts w:ascii="Wingdings" w:eastAsia="Wingdings" w:hAnsi="Wingdings" w:hint="default"/>
        <w:sz w:val="28"/>
        <w:szCs w:val="28"/>
      </w:rPr>
    </w:lvl>
    <w:lvl w:ilvl="3" w:tplc="45B45862">
      <w:start w:val="1"/>
      <w:numFmt w:val="bullet"/>
      <w:lvlText w:val="•"/>
      <w:lvlJc w:val="left"/>
      <w:pPr>
        <w:ind w:left="2161" w:hanging="361"/>
      </w:pPr>
      <w:rPr>
        <w:rFonts w:hint="default"/>
      </w:rPr>
    </w:lvl>
    <w:lvl w:ilvl="4" w:tplc="3200731C">
      <w:start w:val="1"/>
      <w:numFmt w:val="bullet"/>
      <w:lvlText w:val="•"/>
      <w:lvlJc w:val="left"/>
      <w:pPr>
        <w:ind w:left="3118" w:hanging="361"/>
      </w:pPr>
      <w:rPr>
        <w:rFonts w:hint="default"/>
      </w:rPr>
    </w:lvl>
    <w:lvl w:ilvl="5" w:tplc="9E2ED8C0">
      <w:start w:val="1"/>
      <w:numFmt w:val="bullet"/>
      <w:lvlText w:val="•"/>
      <w:lvlJc w:val="left"/>
      <w:pPr>
        <w:ind w:left="4075" w:hanging="361"/>
      </w:pPr>
      <w:rPr>
        <w:rFonts w:hint="default"/>
      </w:rPr>
    </w:lvl>
    <w:lvl w:ilvl="6" w:tplc="B9489E8E">
      <w:start w:val="1"/>
      <w:numFmt w:val="bullet"/>
      <w:lvlText w:val="•"/>
      <w:lvlJc w:val="left"/>
      <w:pPr>
        <w:ind w:left="5032" w:hanging="361"/>
      </w:pPr>
      <w:rPr>
        <w:rFonts w:hint="default"/>
      </w:rPr>
    </w:lvl>
    <w:lvl w:ilvl="7" w:tplc="5C709F14">
      <w:start w:val="1"/>
      <w:numFmt w:val="bullet"/>
      <w:lvlText w:val="•"/>
      <w:lvlJc w:val="left"/>
      <w:pPr>
        <w:ind w:left="5989" w:hanging="361"/>
      </w:pPr>
      <w:rPr>
        <w:rFonts w:hint="default"/>
      </w:rPr>
    </w:lvl>
    <w:lvl w:ilvl="8" w:tplc="37E23D08">
      <w:start w:val="1"/>
      <w:numFmt w:val="bullet"/>
      <w:lvlText w:val="•"/>
      <w:lvlJc w:val="left"/>
      <w:pPr>
        <w:ind w:left="6946" w:hanging="361"/>
      </w:pPr>
      <w:rPr>
        <w:rFonts w:hint="default"/>
      </w:rPr>
    </w:lvl>
  </w:abstractNum>
  <w:abstractNum w:abstractNumId="7" w15:restartNumberingAfterBreak="0">
    <w:nsid w:val="5F1203C6"/>
    <w:multiLevelType w:val="hybridMultilevel"/>
    <w:tmpl w:val="7592F1E4"/>
    <w:lvl w:ilvl="0" w:tplc="48E00902">
      <w:start w:val="1"/>
      <w:numFmt w:val="bullet"/>
      <w:lvlText w:val=""/>
      <w:lvlJc w:val="left"/>
      <w:pPr>
        <w:ind w:left="2430" w:hanging="360"/>
      </w:pPr>
      <w:rPr>
        <w:rFonts w:ascii="Symbol" w:hAnsi="Symbol" w:hint="default"/>
        <w:color w:val="auto"/>
        <w:sz w:val="18"/>
        <w:szCs w:val="18"/>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62F2319E"/>
    <w:multiLevelType w:val="hybridMultilevel"/>
    <w:tmpl w:val="8F8C7B56"/>
    <w:lvl w:ilvl="0" w:tplc="961E71AE">
      <w:start w:val="1"/>
      <w:numFmt w:val="upperRoman"/>
      <w:lvlText w:val="%1."/>
      <w:lvlJc w:val="left"/>
      <w:pPr>
        <w:ind w:left="720" w:hanging="720"/>
        <w:jc w:val="right"/>
      </w:pPr>
      <w:rPr>
        <w:rFonts w:ascii="CeraGR-Regular" w:eastAsia="Garamond" w:hAnsi="CeraGR-Regular" w:hint="default"/>
        <w:b/>
        <w:bCs/>
        <w:color w:val="1F354D"/>
        <w:spacing w:val="-1"/>
        <w:sz w:val="24"/>
        <w:szCs w:val="24"/>
      </w:rPr>
    </w:lvl>
    <w:lvl w:ilvl="1" w:tplc="D48A3B90">
      <w:start w:val="1"/>
      <w:numFmt w:val="bullet"/>
      <w:lvlText w:val=""/>
      <w:lvlJc w:val="left"/>
      <w:pPr>
        <w:ind w:left="1560" w:hanging="360"/>
      </w:pPr>
      <w:rPr>
        <w:rFonts w:ascii="Symbol" w:eastAsia="Symbol" w:hAnsi="Symbol" w:hint="default"/>
        <w:sz w:val="20"/>
        <w:szCs w:val="20"/>
      </w:rPr>
    </w:lvl>
    <w:lvl w:ilvl="2" w:tplc="28BE785A">
      <w:start w:val="1"/>
      <w:numFmt w:val="bullet"/>
      <w:lvlText w:val="o"/>
      <w:lvlJc w:val="left"/>
      <w:pPr>
        <w:ind w:left="1920" w:hanging="360"/>
      </w:pPr>
      <w:rPr>
        <w:rFonts w:ascii="Courier New" w:eastAsia="Courier New" w:hAnsi="Courier New" w:hint="default"/>
        <w:sz w:val="18"/>
        <w:szCs w:val="18"/>
      </w:rPr>
    </w:lvl>
    <w:lvl w:ilvl="3" w:tplc="3DE4D6A4">
      <w:start w:val="1"/>
      <w:numFmt w:val="bullet"/>
      <w:lvlText w:val="•"/>
      <w:lvlJc w:val="left"/>
      <w:pPr>
        <w:ind w:left="2280" w:hanging="360"/>
      </w:pPr>
      <w:rPr>
        <w:rFonts w:hint="default"/>
      </w:rPr>
    </w:lvl>
    <w:lvl w:ilvl="4" w:tplc="12A24EFC">
      <w:start w:val="1"/>
      <w:numFmt w:val="bullet"/>
      <w:lvlText w:val="•"/>
      <w:lvlJc w:val="left"/>
      <w:pPr>
        <w:ind w:left="2692" w:hanging="360"/>
      </w:pPr>
      <w:rPr>
        <w:rFonts w:hint="default"/>
      </w:rPr>
    </w:lvl>
    <w:lvl w:ilvl="5" w:tplc="A1548AB6">
      <w:start w:val="1"/>
      <w:numFmt w:val="bullet"/>
      <w:lvlText w:val="•"/>
      <w:lvlJc w:val="left"/>
      <w:pPr>
        <w:ind w:left="3103" w:hanging="360"/>
      </w:pPr>
      <w:rPr>
        <w:rFonts w:hint="default"/>
      </w:rPr>
    </w:lvl>
    <w:lvl w:ilvl="6" w:tplc="FD86CB5C">
      <w:start w:val="1"/>
      <w:numFmt w:val="bullet"/>
      <w:lvlText w:val="•"/>
      <w:lvlJc w:val="left"/>
      <w:pPr>
        <w:ind w:left="3515" w:hanging="360"/>
      </w:pPr>
      <w:rPr>
        <w:rFonts w:hint="default"/>
      </w:rPr>
    </w:lvl>
    <w:lvl w:ilvl="7" w:tplc="046C01F6">
      <w:start w:val="1"/>
      <w:numFmt w:val="bullet"/>
      <w:lvlText w:val="•"/>
      <w:lvlJc w:val="left"/>
      <w:pPr>
        <w:ind w:left="3927" w:hanging="360"/>
      </w:pPr>
      <w:rPr>
        <w:rFonts w:hint="default"/>
      </w:rPr>
    </w:lvl>
    <w:lvl w:ilvl="8" w:tplc="BACA64F6">
      <w:start w:val="1"/>
      <w:numFmt w:val="bullet"/>
      <w:lvlText w:val="•"/>
      <w:lvlJc w:val="left"/>
      <w:pPr>
        <w:ind w:left="4338" w:hanging="360"/>
      </w:pPr>
      <w:rPr>
        <w:rFonts w:hint="default"/>
      </w:rPr>
    </w:lvl>
  </w:abstractNum>
  <w:abstractNum w:abstractNumId="9" w15:restartNumberingAfterBreak="0">
    <w:nsid w:val="69C91E0C"/>
    <w:multiLevelType w:val="hybridMultilevel"/>
    <w:tmpl w:val="3D58EE26"/>
    <w:lvl w:ilvl="0" w:tplc="D9122A52">
      <w:start w:val="1"/>
      <w:numFmt w:val="decimal"/>
      <w:lvlText w:val="%1."/>
      <w:lvlJc w:val="left"/>
      <w:pPr>
        <w:ind w:left="1800" w:hanging="360"/>
      </w:pPr>
      <w:rPr>
        <w:rFonts w:ascii="CeraGR-Regular" w:eastAsia="Garamond" w:hAnsi="CeraGR-Regular" w:hint="default"/>
        <w:sz w:val="20"/>
        <w:szCs w:val="20"/>
      </w:rPr>
    </w:lvl>
    <w:lvl w:ilvl="1" w:tplc="03A8A0EE">
      <w:start w:val="1"/>
      <w:numFmt w:val="bullet"/>
      <w:lvlText w:val="•"/>
      <w:lvlJc w:val="left"/>
      <w:pPr>
        <w:ind w:left="2600" w:hanging="360"/>
      </w:pPr>
      <w:rPr>
        <w:rFonts w:hint="default"/>
      </w:rPr>
    </w:lvl>
    <w:lvl w:ilvl="2" w:tplc="6FAEE4D6">
      <w:start w:val="1"/>
      <w:numFmt w:val="bullet"/>
      <w:lvlText w:val="•"/>
      <w:lvlJc w:val="left"/>
      <w:pPr>
        <w:ind w:left="3400" w:hanging="360"/>
      </w:pPr>
      <w:rPr>
        <w:rFonts w:hint="default"/>
      </w:rPr>
    </w:lvl>
    <w:lvl w:ilvl="3" w:tplc="8E223AEE">
      <w:start w:val="1"/>
      <w:numFmt w:val="bullet"/>
      <w:lvlText w:val="•"/>
      <w:lvlJc w:val="left"/>
      <w:pPr>
        <w:ind w:left="4200" w:hanging="360"/>
      </w:pPr>
      <w:rPr>
        <w:rFonts w:hint="default"/>
      </w:rPr>
    </w:lvl>
    <w:lvl w:ilvl="4" w:tplc="4F28203A">
      <w:start w:val="1"/>
      <w:numFmt w:val="bullet"/>
      <w:lvlText w:val="•"/>
      <w:lvlJc w:val="left"/>
      <w:pPr>
        <w:ind w:left="5000" w:hanging="360"/>
      </w:pPr>
      <w:rPr>
        <w:rFonts w:hint="default"/>
      </w:rPr>
    </w:lvl>
    <w:lvl w:ilvl="5" w:tplc="BE44CDB8">
      <w:start w:val="1"/>
      <w:numFmt w:val="bullet"/>
      <w:lvlText w:val="•"/>
      <w:lvlJc w:val="left"/>
      <w:pPr>
        <w:ind w:left="5800" w:hanging="360"/>
      </w:pPr>
      <w:rPr>
        <w:rFonts w:hint="default"/>
      </w:rPr>
    </w:lvl>
    <w:lvl w:ilvl="6" w:tplc="A8A42496">
      <w:start w:val="1"/>
      <w:numFmt w:val="bullet"/>
      <w:lvlText w:val="•"/>
      <w:lvlJc w:val="left"/>
      <w:pPr>
        <w:ind w:left="6600" w:hanging="360"/>
      </w:pPr>
      <w:rPr>
        <w:rFonts w:hint="default"/>
      </w:rPr>
    </w:lvl>
    <w:lvl w:ilvl="7" w:tplc="0ABE6608">
      <w:start w:val="1"/>
      <w:numFmt w:val="bullet"/>
      <w:lvlText w:val="•"/>
      <w:lvlJc w:val="left"/>
      <w:pPr>
        <w:ind w:left="7400" w:hanging="360"/>
      </w:pPr>
      <w:rPr>
        <w:rFonts w:hint="default"/>
      </w:rPr>
    </w:lvl>
    <w:lvl w:ilvl="8" w:tplc="A1A004BC">
      <w:start w:val="1"/>
      <w:numFmt w:val="bullet"/>
      <w:lvlText w:val="•"/>
      <w:lvlJc w:val="left"/>
      <w:pPr>
        <w:ind w:left="8200" w:hanging="360"/>
      </w:pPr>
      <w:rPr>
        <w:rFonts w:hint="default"/>
      </w:rPr>
    </w:lvl>
  </w:abstractNum>
  <w:abstractNum w:abstractNumId="10" w15:restartNumberingAfterBreak="0">
    <w:nsid w:val="73705F3C"/>
    <w:multiLevelType w:val="hybridMultilevel"/>
    <w:tmpl w:val="37AAE432"/>
    <w:lvl w:ilvl="0" w:tplc="0610CFEC">
      <w:start w:val="1"/>
      <w:numFmt w:val="decimal"/>
      <w:lvlText w:val="%1."/>
      <w:lvlJc w:val="left"/>
      <w:pPr>
        <w:ind w:left="2640" w:hanging="360"/>
      </w:pPr>
      <w:rPr>
        <w:rFonts w:ascii="CeraGR-Regular" w:eastAsia="Garamond" w:hAnsi="CeraGR-Regular" w:hint="default"/>
        <w:sz w:val="18"/>
        <w:szCs w:val="18"/>
      </w:rPr>
    </w:lvl>
    <w:lvl w:ilvl="1" w:tplc="6E30B4BC">
      <w:start w:val="1"/>
      <w:numFmt w:val="bullet"/>
      <w:lvlText w:val="•"/>
      <w:lvlJc w:val="left"/>
      <w:pPr>
        <w:ind w:left="3404" w:hanging="360"/>
      </w:pPr>
      <w:rPr>
        <w:rFonts w:hint="default"/>
      </w:rPr>
    </w:lvl>
    <w:lvl w:ilvl="2" w:tplc="FE3278C2">
      <w:start w:val="1"/>
      <w:numFmt w:val="bullet"/>
      <w:lvlText w:val="•"/>
      <w:lvlJc w:val="left"/>
      <w:pPr>
        <w:ind w:left="4168" w:hanging="360"/>
      </w:pPr>
      <w:rPr>
        <w:rFonts w:hint="default"/>
      </w:rPr>
    </w:lvl>
    <w:lvl w:ilvl="3" w:tplc="2A22A318">
      <w:start w:val="1"/>
      <w:numFmt w:val="bullet"/>
      <w:lvlText w:val="•"/>
      <w:lvlJc w:val="left"/>
      <w:pPr>
        <w:ind w:left="4932" w:hanging="360"/>
      </w:pPr>
      <w:rPr>
        <w:rFonts w:hint="default"/>
      </w:rPr>
    </w:lvl>
    <w:lvl w:ilvl="4" w:tplc="4E847106">
      <w:start w:val="1"/>
      <w:numFmt w:val="bullet"/>
      <w:lvlText w:val="•"/>
      <w:lvlJc w:val="left"/>
      <w:pPr>
        <w:ind w:left="5696" w:hanging="360"/>
      </w:pPr>
      <w:rPr>
        <w:rFonts w:hint="default"/>
      </w:rPr>
    </w:lvl>
    <w:lvl w:ilvl="5" w:tplc="8EE8C6EE">
      <w:start w:val="1"/>
      <w:numFmt w:val="bullet"/>
      <w:lvlText w:val="•"/>
      <w:lvlJc w:val="left"/>
      <w:pPr>
        <w:ind w:left="6460" w:hanging="360"/>
      </w:pPr>
      <w:rPr>
        <w:rFonts w:hint="default"/>
      </w:rPr>
    </w:lvl>
    <w:lvl w:ilvl="6" w:tplc="25EAFB1E">
      <w:start w:val="1"/>
      <w:numFmt w:val="bullet"/>
      <w:lvlText w:val="•"/>
      <w:lvlJc w:val="left"/>
      <w:pPr>
        <w:ind w:left="7224" w:hanging="360"/>
      </w:pPr>
      <w:rPr>
        <w:rFonts w:hint="default"/>
      </w:rPr>
    </w:lvl>
    <w:lvl w:ilvl="7" w:tplc="30DA961E">
      <w:start w:val="1"/>
      <w:numFmt w:val="bullet"/>
      <w:lvlText w:val="•"/>
      <w:lvlJc w:val="left"/>
      <w:pPr>
        <w:ind w:left="7988" w:hanging="360"/>
      </w:pPr>
      <w:rPr>
        <w:rFonts w:hint="default"/>
      </w:rPr>
    </w:lvl>
    <w:lvl w:ilvl="8" w:tplc="A22873DC">
      <w:start w:val="1"/>
      <w:numFmt w:val="bullet"/>
      <w:lvlText w:val="•"/>
      <w:lvlJc w:val="left"/>
      <w:pPr>
        <w:ind w:left="8752" w:hanging="360"/>
      </w:pPr>
      <w:rPr>
        <w:rFonts w:hint="default"/>
      </w:rPr>
    </w:lvl>
  </w:abstractNum>
  <w:num w:numId="1">
    <w:abstractNumId w:val="4"/>
  </w:num>
  <w:num w:numId="2">
    <w:abstractNumId w:val="1"/>
  </w:num>
  <w:num w:numId="3">
    <w:abstractNumId w:val="0"/>
  </w:num>
  <w:num w:numId="4">
    <w:abstractNumId w:val="2"/>
  </w:num>
  <w:num w:numId="5">
    <w:abstractNumId w:val="9"/>
  </w:num>
  <w:num w:numId="6">
    <w:abstractNumId w:val="10"/>
  </w:num>
  <w:num w:numId="7">
    <w:abstractNumId w:val="3"/>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4B"/>
    <w:rsid w:val="0000714B"/>
    <w:rsid w:val="00023CCB"/>
    <w:rsid w:val="00072EB4"/>
    <w:rsid w:val="00073196"/>
    <w:rsid w:val="000802AC"/>
    <w:rsid w:val="00084013"/>
    <w:rsid w:val="000B03FD"/>
    <w:rsid w:val="000F25B9"/>
    <w:rsid w:val="000F3D03"/>
    <w:rsid w:val="001038CB"/>
    <w:rsid w:val="0014570F"/>
    <w:rsid w:val="00163FF9"/>
    <w:rsid w:val="00170CAE"/>
    <w:rsid w:val="001C242E"/>
    <w:rsid w:val="001C4945"/>
    <w:rsid w:val="001D174A"/>
    <w:rsid w:val="001D56AB"/>
    <w:rsid w:val="002458F8"/>
    <w:rsid w:val="002463D2"/>
    <w:rsid w:val="002530FA"/>
    <w:rsid w:val="00254D23"/>
    <w:rsid w:val="00283F67"/>
    <w:rsid w:val="002A1A9F"/>
    <w:rsid w:val="002C1371"/>
    <w:rsid w:val="002C51C3"/>
    <w:rsid w:val="002C7476"/>
    <w:rsid w:val="002D009A"/>
    <w:rsid w:val="00333D03"/>
    <w:rsid w:val="00337BEE"/>
    <w:rsid w:val="003C3B69"/>
    <w:rsid w:val="003D6B96"/>
    <w:rsid w:val="004033EF"/>
    <w:rsid w:val="004323E4"/>
    <w:rsid w:val="00470D5E"/>
    <w:rsid w:val="004B7EC8"/>
    <w:rsid w:val="004D558C"/>
    <w:rsid w:val="004F31B1"/>
    <w:rsid w:val="0051220A"/>
    <w:rsid w:val="00521386"/>
    <w:rsid w:val="005573E3"/>
    <w:rsid w:val="00564C42"/>
    <w:rsid w:val="00574FB4"/>
    <w:rsid w:val="0058454E"/>
    <w:rsid w:val="00594612"/>
    <w:rsid w:val="005A44B9"/>
    <w:rsid w:val="005C4256"/>
    <w:rsid w:val="005C62C9"/>
    <w:rsid w:val="00614D5F"/>
    <w:rsid w:val="00617244"/>
    <w:rsid w:val="006177CA"/>
    <w:rsid w:val="00624AD1"/>
    <w:rsid w:val="0062547C"/>
    <w:rsid w:val="0063358E"/>
    <w:rsid w:val="006632C0"/>
    <w:rsid w:val="006633BC"/>
    <w:rsid w:val="0069035B"/>
    <w:rsid w:val="00690550"/>
    <w:rsid w:val="0069143C"/>
    <w:rsid w:val="00695E1C"/>
    <w:rsid w:val="00697725"/>
    <w:rsid w:val="006A3D3C"/>
    <w:rsid w:val="006B3C84"/>
    <w:rsid w:val="006C78FC"/>
    <w:rsid w:val="006D0771"/>
    <w:rsid w:val="006D4323"/>
    <w:rsid w:val="006D6142"/>
    <w:rsid w:val="006E0E78"/>
    <w:rsid w:val="006E409A"/>
    <w:rsid w:val="006F0457"/>
    <w:rsid w:val="006F364A"/>
    <w:rsid w:val="006F77EF"/>
    <w:rsid w:val="0070454B"/>
    <w:rsid w:val="00704F9F"/>
    <w:rsid w:val="007438CC"/>
    <w:rsid w:val="00754D14"/>
    <w:rsid w:val="00771A90"/>
    <w:rsid w:val="00790E45"/>
    <w:rsid w:val="008448F1"/>
    <w:rsid w:val="008808DA"/>
    <w:rsid w:val="008A0E0E"/>
    <w:rsid w:val="008A44A5"/>
    <w:rsid w:val="008B0CC5"/>
    <w:rsid w:val="008B775A"/>
    <w:rsid w:val="00917A79"/>
    <w:rsid w:val="009216D5"/>
    <w:rsid w:val="009315E1"/>
    <w:rsid w:val="009428C3"/>
    <w:rsid w:val="009601B3"/>
    <w:rsid w:val="0097343C"/>
    <w:rsid w:val="00984D6B"/>
    <w:rsid w:val="009D6094"/>
    <w:rsid w:val="009E079B"/>
    <w:rsid w:val="00A012AC"/>
    <w:rsid w:val="00A348A5"/>
    <w:rsid w:val="00A46708"/>
    <w:rsid w:val="00A50F1D"/>
    <w:rsid w:val="00A61547"/>
    <w:rsid w:val="00A70BA4"/>
    <w:rsid w:val="00A75CBC"/>
    <w:rsid w:val="00A81388"/>
    <w:rsid w:val="00A83714"/>
    <w:rsid w:val="00A922FA"/>
    <w:rsid w:val="00A925CE"/>
    <w:rsid w:val="00AF0312"/>
    <w:rsid w:val="00AF4954"/>
    <w:rsid w:val="00B02960"/>
    <w:rsid w:val="00B17425"/>
    <w:rsid w:val="00B43191"/>
    <w:rsid w:val="00B679BA"/>
    <w:rsid w:val="00B70E68"/>
    <w:rsid w:val="00B8100D"/>
    <w:rsid w:val="00B90918"/>
    <w:rsid w:val="00B92E77"/>
    <w:rsid w:val="00BB52F7"/>
    <w:rsid w:val="00BB5B00"/>
    <w:rsid w:val="00BD322F"/>
    <w:rsid w:val="00BD514D"/>
    <w:rsid w:val="00C16BC7"/>
    <w:rsid w:val="00C17423"/>
    <w:rsid w:val="00C5026D"/>
    <w:rsid w:val="00C62599"/>
    <w:rsid w:val="00C73146"/>
    <w:rsid w:val="00CA28B0"/>
    <w:rsid w:val="00CB4A9D"/>
    <w:rsid w:val="00CB5422"/>
    <w:rsid w:val="00CF04F3"/>
    <w:rsid w:val="00D000C7"/>
    <w:rsid w:val="00D271A6"/>
    <w:rsid w:val="00D305A0"/>
    <w:rsid w:val="00D55831"/>
    <w:rsid w:val="00D60475"/>
    <w:rsid w:val="00D60E09"/>
    <w:rsid w:val="00D61013"/>
    <w:rsid w:val="00D81C64"/>
    <w:rsid w:val="00D92FCB"/>
    <w:rsid w:val="00D9667C"/>
    <w:rsid w:val="00DA0404"/>
    <w:rsid w:val="00DA61A2"/>
    <w:rsid w:val="00DE1041"/>
    <w:rsid w:val="00DE173F"/>
    <w:rsid w:val="00DE4E7C"/>
    <w:rsid w:val="00E20662"/>
    <w:rsid w:val="00EF18B1"/>
    <w:rsid w:val="00F2180D"/>
    <w:rsid w:val="00F4224C"/>
    <w:rsid w:val="00F62787"/>
    <w:rsid w:val="00F95715"/>
    <w:rsid w:val="00FD6744"/>
    <w:rsid w:val="00FF1A03"/>
    <w:rsid w:val="00FF2E3A"/>
    <w:rsid w:val="00F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8391B2"/>
  <w15:docId w15:val="{258C7DDC-6755-46A6-9B00-971670B6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9"/>
      <w:ind w:left="2520"/>
      <w:outlineLvl w:val="0"/>
    </w:pPr>
    <w:rPr>
      <w:rFonts w:ascii="Garamond" w:eastAsia="Garamond" w:hAnsi="Garamond"/>
      <w:b/>
      <w:bCs/>
      <w:sz w:val="32"/>
      <w:szCs w:val="32"/>
    </w:rPr>
  </w:style>
  <w:style w:type="paragraph" w:styleId="Heading2">
    <w:name w:val="heading 2"/>
    <w:basedOn w:val="Normal"/>
    <w:uiPriority w:val="1"/>
    <w:qFormat/>
    <w:pPr>
      <w:ind w:left="1560" w:hanging="720"/>
      <w:outlineLvl w:val="1"/>
    </w:pPr>
    <w:rPr>
      <w:rFonts w:ascii="Garamond" w:eastAsia="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360"/>
    </w:pPr>
    <w:rPr>
      <w:rFonts w:ascii="Garamond" w:eastAsia="Garamond" w:hAnsi="Garamond"/>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4945"/>
    <w:rPr>
      <w:rFonts w:ascii="Tahoma" w:hAnsi="Tahoma" w:cs="Tahoma"/>
      <w:sz w:val="16"/>
      <w:szCs w:val="16"/>
    </w:rPr>
  </w:style>
  <w:style w:type="character" w:customStyle="1" w:styleId="BalloonTextChar">
    <w:name w:val="Balloon Text Char"/>
    <w:basedOn w:val="DefaultParagraphFont"/>
    <w:link w:val="BalloonText"/>
    <w:uiPriority w:val="99"/>
    <w:semiHidden/>
    <w:rsid w:val="001C4945"/>
    <w:rPr>
      <w:rFonts w:ascii="Tahoma" w:hAnsi="Tahoma" w:cs="Tahoma"/>
      <w:sz w:val="16"/>
      <w:szCs w:val="16"/>
    </w:rPr>
  </w:style>
  <w:style w:type="paragraph" w:styleId="Header">
    <w:name w:val="header"/>
    <w:basedOn w:val="Normal"/>
    <w:link w:val="HeaderChar"/>
    <w:uiPriority w:val="99"/>
    <w:unhideWhenUsed/>
    <w:rsid w:val="001C4945"/>
    <w:pPr>
      <w:tabs>
        <w:tab w:val="center" w:pos="4680"/>
        <w:tab w:val="right" w:pos="9360"/>
      </w:tabs>
    </w:pPr>
  </w:style>
  <w:style w:type="character" w:customStyle="1" w:styleId="HeaderChar">
    <w:name w:val="Header Char"/>
    <w:basedOn w:val="DefaultParagraphFont"/>
    <w:link w:val="Header"/>
    <w:uiPriority w:val="99"/>
    <w:rsid w:val="001C4945"/>
  </w:style>
  <w:style w:type="paragraph" w:styleId="Footer">
    <w:name w:val="footer"/>
    <w:basedOn w:val="Normal"/>
    <w:link w:val="FooterChar"/>
    <w:uiPriority w:val="99"/>
    <w:unhideWhenUsed/>
    <w:rsid w:val="001C4945"/>
    <w:pPr>
      <w:tabs>
        <w:tab w:val="center" w:pos="4680"/>
        <w:tab w:val="right" w:pos="9360"/>
      </w:tabs>
    </w:pPr>
  </w:style>
  <w:style w:type="character" w:customStyle="1" w:styleId="FooterChar">
    <w:name w:val="Footer Char"/>
    <w:basedOn w:val="DefaultParagraphFont"/>
    <w:link w:val="Footer"/>
    <w:uiPriority w:val="99"/>
    <w:rsid w:val="001C4945"/>
  </w:style>
  <w:style w:type="paragraph" w:customStyle="1" w:styleId="BasicParagraph">
    <w:name w:val="[Basic Paragraph]"/>
    <w:basedOn w:val="Normal"/>
    <w:uiPriority w:val="99"/>
    <w:rsid w:val="00084013"/>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MYGBody2">
    <w:name w:val="MYG_Body2"/>
    <w:basedOn w:val="Normal"/>
    <w:qFormat/>
    <w:rsid w:val="00DE173F"/>
    <w:pPr>
      <w:widowControl/>
      <w:spacing w:after="120" w:line="220" w:lineRule="exact"/>
    </w:pPr>
    <w:rPr>
      <w:rFonts w:ascii="Avenir Book" w:eastAsiaTheme="minorEastAsia" w:hAnsi="Avenir Book"/>
      <w:color w:val="246B31"/>
      <w:sz w:val="18"/>
      <w:szCs w:val="18"/>
    </w:rPr>
  </w:style>
  <w:style w:type="character" w:styleId="Hyperlink">
    <w:name w:val="Hyperlink"/>
    <w:basedOn w:val="DefaultParagraphFont"/>
    <w:uiPriority w:val="99"/>
    <w:unhideWhenUsed/>
    <w:rsid w:val="00170CAE"/>
    <w:rPr>
      <w:color w:val="0000FF" w:themeColor="hyperlink"/>
      <w:u w:val="single"/>
    </w:rPr>
  </w:style>
  <w:style w:type="character" w:styleId="FollowedHyperlink">
    <w:name w:val="FollowedHyperlink"/>
    <w:basedOn w:val="DefaultParagraphFont"/>
    <w:uiPriority w:val="99"/>
    <w:semiHidden/>
    <w:unhideWhenUsed/>
    <w:rsid w:val="002463D2"/>
    <w:rPr>
      <w:color w:val="800080" w:themeColor="followedHyperlink"/>
      <w:u w:val="single"/>
    </w:rPr>
  </w:style>
  <w:style w:type="character" w:styleId="UnresolvedMention">
    <w:name w:val="Unresolved Mention"/>
    <w:basedOn w:val="DefaultParagraphFont"/>
    <w:uiPriority w:val="99"/>
    <w:semiHidden/>
    <w:unhideWhenUsed/>
    <w:rsid w:val="002530FA"/>
    <w:rPr>
      <w:color w:val="808080"/>
      <w:shd w:val="clear" w:color="auto" w:fill="E6E6E6"/>
    </w:rPr>
  </w:style>
  <w:style w:type="character" w:styleId="CommentReference">
    <w:name w:val="annotation reference"/>
    <w:basedOn w:val="DefaultParagraphFont"/>
    <w:uiPriority w:val="99"/>
    <w:semiHidden/>
    <w:unhideWhenUsed/>
    <w:rsid w:val="00C62599"/>
    <w:rPr>
      <w:sz w:val="16"/>
      <w:szCs w:val="16"/>
    </w:rPr>
  </w:style>
  <w:style w:type="paragraph" w:styleId="CommentText">
    <w:name w:val="annotation text"/>
    <w:basedOn w:val="Normal"/>
    <w:link w:val="CommentTextChar"/>
    <w:uiPriority w:val="99"/>
    <w:semiHidden/>
    <w:unhideWhenUsed/>
    <w:rsid w:val="00C62599"/>
    <w:rPr>
      <w:sz w:val="20"/>
      <w:szCs w:val="20"/>
    </w:rPr>
  </w:style>
  <w:style w:type="character" w:customStyle="1" w:styleId="CommentTextChar">
    <w:name w:val="Comment Text Char"/>
    <w:basedOn w:val="DefaultParagraphFont"/>
    <w:link w:val="CommentText"/>
    <w:uiPriority w:val="99"/>
    <w:semiHidden/>
    <w:rsid w:val="00C62599"/>
    <w:rPr>
      <w:sz w:val="20"/>
      <w:szCs w:val="20"/>
    </w:rPr>
  </w:style>
  <w:style w:type="paragraph" w:styleId="CommentSubject">
    <w:name w:val="annotation subject"/>
    <w:basedOn w:val="CommentText"/>
    <w:next w:val="CommentText"/>
    <w:link w:val="CommentSubjectChar"/>
    <w:uiPriority w:val="99"/>
    <w:semiHidden/>
    <w:unhideWhenUsed/>
    <w:rsid w:val="00C62599"/>
    <w:rPr>
      <w:b/>
      <w:bCs/>
    </w:rPr>
  </w:style>
  <w:style w:type="character" w:customStyle="1" w:styleId="CommentSubjectChar">
    <w:name w:val="Comment Subject Char"/>
    <w:basedOn w:val="CommentTextChar"/>
    <w:link w:val="CommentSubject"/>
    <w:uiPriority w:val="99"/>
    <w:semiHidden/>
    <w:rsid w:val="00C62599"/>
    <w:rPr>
      <w:b/>
      <w:bCs/>
      <w:sz w:val="20"/>
      <w:szCs w:val="20"/>
    </w:rPr>
  </w:style>
  <w:style w:type="paragraph" w:customStyle="1" w:styleId="xmsonormal">
    <w:name w:val="x_msonormal"/>
    <w:basedOn w:val="Normal"/>
    <w:rsid w:val="003C3B69"/>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7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apassn.org/Portals/11/Docs/EAPAStandards10.pdf" TargetMode="External"/><Relationship Id="rId18" Type="http://schemas.openxmlformats.org/officeDocument/2006/relationships/hyperlink" Target="http://www.eapassn.org/SAP" TargetMode="External"/><Relationship Id="rId26" Type="http://schemas.openxmlformats.org/officeDocument/2006/relationships/hyperlink" Target="http://www.icisf.org/" TargetMode="External"/><Relationship Id="rId3" Type="http://schemas.openxmlformats.org/officeDocument/2006/relationships/styles" Target="styles.xml"/><Relationship Id="rId21" Type="http://schemas.openxmlformats.org/officeDocument/2006/relationships/hyperlink" Target="https://www.eap-rd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apassn.org/Credentials/CEAP" TargetMode="External"/><Relationship Id="rId25" Type="http://schemas.openxmlformats.org/officeDocument/2006/relationships/hyperlink" Target="https://www.eap-rda.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hs.gov/ocr/privacy/index.html" TargetMode="External"/><Relationship Id="rId20" Type="http://schemas.openxmlformats.org/officeDocument/2006/relationships/hyperlink" Target="http://www.sbirttraining.com/" TargetMode="External"/><Relationship Id="rId29" Type="http://schemas.openxmlformats.org/officeDocument/2006/relationships/hyperlink" Target="http://www.my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mazon.com/The-Employee-Assistance-Treatment-Planner/dp/047124709X/ref%3Dsr_1_1?ie=UTF8&amp;amp;qid=1402678313&amp;amp;sr=8-1&amp;amp;keywords=The%2BEmployee%2BAssistance%2BTreatment%2BPlanner"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yProvider@MYGroup.com" TargetMode="External"/><Relationship Id="rId23" Type="http://schemas.openxmlformats.org/officeDocument/2006/relationships/hyperlink" Target="https://learn.nctsn.org/course/index.php?categoryid=11" TargetMode="External"/><Relationship Id="rId28" Type="http://schemas.openxmlformats.org/officeDocument/2006/relationships/hyperlink" Target="http://www.mygroup.com" TargetMode="External"/><Relationship Id="rId10" Type="http://schemas.openxmlformats.org/officeDocument/2006/relationships/header" Target="header2.xml"/><Relationship Id="rId19" Type="http://schemas.openxmlformats.org/officeDocument/2006/relationships/hyperlink" Target="http://www.sbirttraining.com/" TargetMode="External"/><Relationship Id="rId31"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passn.org/" TargetMode="External"/><Relationship Id="rId22" Type="http://schemas.openxmlformats.org/officeDocument/2006/relationships/hyperlink" Target="http://www.icisf.org/" TargetMode="External"/><Relationship Id="rId27" Type="http://schemas.openxmlformats.org/officeDocument/2006/relationships/hyperlink" Target="https://www.ptsd.va.gov/professional/manuals/manual-pdf/pfa/PFA_2ndEditionwithappendices.pdf" TargetMode="External"/><Relationship Id="rId30" Type="http://schemas.openxmlformats.org/officeDocument/2006/relationships/image" Target="media/image3.tmp"/><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2455-CD6B-4BA8-9DEC-43E28FC3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6448</Words>
  <Characters>36756</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Cassio</dc:creator>
  <cp:lastModifiedBy>Joyce McGarry</cp:lastModifiedBy>
  <cp:revision>2</cp:revision>
  <cp:lastPrinted>2020-04-21T13:30:00Z</cp:lastPrinted>
  <dcterms:created xsi:type="dcterms:W3CDTF">2020-05-05T16:48:00Z</dcterms:created>
  <dcterms:modified xsi:type="dcterms:W3CDTF">2020-05-05T16:48:00Z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2016-10-05T00:00:00Z</vt:filetime>
  </property>
</Properties>
</file>